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29F9A1">
      <w:pPr>
        <w:spacing w:line="243" w:lineRule="auto"/>
        <w:rPr>
          <w:rFonts w:ascii="Arial"/>
          <w:sz w:val="21"/>
        </w:rPr>
      </w:pPr>
    </w:p>
    <w:p w14:paraId="08222FEB">
      <w:pPr>
        <w:spacing w:line="243" w:lineRule="auto"/>
        <w:rPr>
          <w:rFonts w:ascii="Arial"/>
          <w:sz w:val="21"/>
        </w:rPr>
      </w:pPr>
    </w:p>
    <w:p w14:paraId="0CFCE37C">
      <w:pPr>
        <w:spacing w:line="243" w:lineRule="auto"/>
        <w:rPr>
          <w:rFonts w:ascii="Arial"/>
          <w:sz w:val="21"/>
        </w:rPr>
      </w:pPr>
    </w:p>
    <w:p w14:paraId="549BC9AF">
      <w:pPr>
        <w:spacing w:line="243" w:lineRule="auto"/>
        <w:rPr>
          <w:rFonts w:ascii="Arial"/>
          <w:sz w:val="21"/>
        </w:rPr>
      </w:pPr>
    </w:p>
    <w:p w14:paraId="5FCB4541">
      <w:pPr>
        <w:spacing w:line="243" w:lineRule="auto"/>
        <w:rPr>
          <w:rFonts w:ascii="Arial"/>
          <w:sz w:val="21"/>
        </w:rPr>
      </w:pPr>
    </w:p>
    <w:p w14:paraId="6A78A54C">
      <w:pPr>
        <w:spacing w:line="243" w:lineRule="auto"/>
        <w:rPr>
          <w:rFonts w:ascii="Arial"/>
          <w:sz w:val="21"/>
        </w:rPr>
      </w:pPr>
    </w:p>
    <w:p w14:paraId="147E5C71">
      <w:pPr>
        <w:spacing w:line="244" w:lineRule="auto"/>
        <w:rPr>
          <w:rFonts w:ascii="Arial"/>
          <w:sz w:val="21"/>
        </w:rPr>
      </w:pPr>
    </w:p>
    <w:p w14:paraId="77EA41A9">
      <w:pPr>
        <w:spacing w:line="244" w:lineRule="auto"/>
        <w:rPr>
          <w:rFonts w:ascii="Arial"/>
          <w:sz w:val="21"/>
        </w:rPr>
      </w:pPr>
    </w:p>
    <w:p w14:paraId="3C8A2019">
      <w:pPr>
        <w:spacing w:line="244" w:lineRule="auto"/>
        <w:rPr>
          <w:rFonts w:ascii="Arial"/>
          <w:sz w:val="21"/>
        </w:rPr>
      </w:pPr>
    </w:p>
    <w:p w14:paraId="1022C087">
      <w:pPr>
        <w:spacing w:before="153" w:line="222" w:lineRule="auto"/>
        <w:jc w:val="center"/>
        <w:rPr>
          <w:rFonts w:ascii="宋体" w:hAnsi="宋体" w:eastAsia="宋体" w:cs="宋体"/>
          <w:sz w:val="47"/>
          <w:szCs w:val="47"/>
        </w:rPr>
      </w:pPr>
      <w:r>
        <w:rPr>
          <w:rFonts w:ascii="宋体" w:hAnsi="宋体" w:eastAsia="宋体" w:cs="宋体"/>
          <w:spacing w:val="16"/>
          <w:sz w:val="47"/>
          <w:szCs w:val="47"/>
          <w14:textOutline w14:w="8717" w14:cap="sq" w14:cmpd="sng">
            <w14:solidFill>
              <w14:srgbClr w14:val="000000"/>
            </w14:solidFill>
            <w14:prstDash w14:val="solid"/>
            <w14:bevel/>
          </w14:textOutline>
        </w:rPr>
        <w:t>《</w:t>
      </w:r>
      <w:bookmarkStart w:id="0" w:name="OLE_LINK1"/>
      <w:r>
        <w:rPr>
          <w:rFonts w:hint="eastAsia" w:ascii="宋体" w:hAnsi="宋体" w:eastAsia="宋体" w:cs="宋体"/>
          <w:spacing w:val="16"/>
          <w:sz w:val="47"/>
          <w:szCs w:val="47"/>
          <w14:textOutline w14:w="8717" w14:cap="sq" w14:cmpd="sng">
            <w14:solidFill>
              <w14:srgbClr w14:val="000000"/>
            </w14:solidFill>
            <w14:prstDash w14:val="solid"/>
            <w14:bevel/>
          </w14:textOutline>
        </w:rPr>
        <w:t>温室气体</w:t>
      </w:r>
      <w:r>
        <w:rPr>
          <w:rFonts w:hint="eastAsia" w:ascii="宋体" w:hAnsi="宋体" w:eastAsia="宋体" w:cs="宋体"/>
          <w:spacing w:val="16"/>
          <w:sz w:val="47"/>
          <w:szCs w:val="47"/>
          <w:lang w:val="en-US" w:eastAsia="zh-CN"/>
          <w14:textOutline w14:w="8717" w14:cap="sq" w14:cmpd="sng">
            <w14:solidFill>
              <w14:srgbClr w14:val="000000"/>
            </w14:solidFill>
            <w14:prstDash w14:val="solid"/>
            <w14:bevel/>
          </w14:textOutline>
        </w:rPr>
        <w:t xml:space="preserve"> </w:t>
      </w:r>
      <w:r>
        <w:rPr>
          <w:rFonts w:hint="eastAsia" w:ascii="宋体" w:hAnsi="宋体" w:eastAsia="宋体" w:cs="宋体"/>
          <w:spacing w:val="16"/>
          <w:sz w:val="47"/>
          <w:szCs w:val="47"/>
          <w14:textOutline w14:w="8717" w14:cap="sq" w14:cmpd="sng">
            <w14:solidFill>
              <w14:srgbClr w14:val="000000"/>
            </w14:solidFill>
            <w14:prstDash w14:val="solid"/>
            <w14:bevel/>
          </w14:textOutline>
        </w:rPr>
        <w:t>产品碳足迹量化方法与要求</w:t>
      </w:r>
      <w:r>
        <w:rPr>
          <w:rFonts w:hint="eastAsia" w:ascii="宋体" w:hAnsi="宋体" w:eastAsia="宋体" w:cs="宋体"/>
          <w:spacing w:val="16"/>
          <w:sz w:val="47"/>
          <w:szCs w:val="47"/>
          <w:lang w:val="en-US" w:eastAsia="zh-CN"/>
          <w14:textOutline w14:w="8717" w14:cap="sq" w14:cmpd="sng">
            <w14:solidFill>
              <w14:srgbClr w14:val="000000"/>
            </w14:solidFill>
            <w14:prstDash w14:val="solid"/>
            <w14:bevel/>
          </w14:textOutline>
        </w:rPr>
        <w:t xml:space="preserve"> </w:t>
      </w:r>
      <w:bookmarkEnd w:id="0"/>
      <w:r>
        <w:rPr>
          <w:rFonts w:hint="eastAsia" w:ascii="宋体" w:hAnsi="宋体" w:eastAsia="宋体" w:cs="宋体"/>
          <w:spacing w:val="16"/>
          <w:sz w:val="47"/>
          <w:szCs w:val="47"/>
          <w:lang w:eastAsia="zh-CN"/>
          <w14:textOutline w14:w="8717" w14:cap="sq" w14:cmpd="sng">
            <w14:solidFill>
              <w14:srgbClr w14:val="000000"/>
            </w14:solidFill>
            <w14:prstDash w14:val="solid"/>
            <w14:bevel/>
          </w14:textOutline>
        </w:rPr>
        <w:t>建筑阀门</w:t>
      </w:r>
      <w:r>
        <w:rPr>
          <w:rFonts w:ascii="宋体" w:hAnsi="宋体" w:eastAsia="宋体" w:cs="宋体"/>
          <w:spacing w:val="8"/>
          <w:sz w:val="47"/>
          <w:szCs w:val="47"/>
          <w14:textOutline w14:w="8717" w14:cap="sq" w14:cmpd="sng">
            <w14:solidFill>
              <w14:srgbClr w14:val="000000"/>
            </w14:solidFill>
            <w14:prstDash w14:val="solid"/>
            <w14:bevel/>
          </w14:textOutline>
        </w:rPr>
        <w:t>》</w:t>
      </w:r>
    </w:p>
    <w:p w14:paraId="04B570B6">
      <w:pPr>
        <w:spacing w:line="372" w:lineRule="auto"/>
        <w:jc w:val="center"/>
        <w:rPr>
          <w:rFonts w:ascii="Arial"/>
          <w:sz w:val="21"/>
        </w:rPr>
      </w:pPr>
    </w:p>
    <w:p w14:paraId="7302A56A">
      <w:pPr>
        <w:spacing w:before="153" w:line="223" w:lineRule="auto"/>
        <w:ind w:left="3251"/>
        <w:rPr>
          <w:rFonts w:ascii="宋体" w:hAnsi="宋体" w:eastAsia="宋体" w:cs="宋体"/>
          <w:sz w:val="47"/>
          <w:szCs w:val="47"/>
        </w:rPr>
      </w:pPr>
      <w:r>
        <w:rPr>
          <w:rFonts w:ascii="宋体" w:hAnsi="宋体" w:eastAsia="宋体" w:cs="宋体"/>
          <w:spacing w:val="7"/>
          <w:sz w:val="47"/>
          <w:szCs w:val="47"/>
          <w14:textOutline w14:w="8717" w14:cap="sq" w14:cmpd="sng">
            <w14:solidFill>
              <w14:srgbClr w14:val="000000"/>
            </w14:solidFill>
            <w14:prstDash w14:val="solid"/>
            <w14:bevel/>
          </w14:textOutline>
        </w:rPr>
        <w:t>编</w:t>
      </w:r>
      <w:r>
        <w:rPr>
          <w:rFonts w:ascii="宋体" w:hAnsi="宋体" w:eastAsia="宋体" w:cs="宋体"/>
          <w:spacing w:val="5"/>
          <w:sz w:val="47"/>
          <w:szCs w:val="47"/>
          <w14:textOutline w14:w="8717" w14:cap="sq" w14:cmpd="sng">
            <w14:solidFill>
              <w14:srgbClr w14:val="000000"/>
            </w14:solidFill>
            <w14:prstDash w14:val="solid"/>
            <w14:bevel/>
          </w14:textOutline>
        </w:rPr>
        <w:t>制说明</w:t>
      </w:r>
    </w:p>
    <w:p w14:paraId="4543834F">
      <w:pPr>
        <w:spacing w:line="269" w:lineRule="auto"/>
        <w:rPr>
          <w:rFonts w:ascii="Arial"/>
          <w:sz w:val="21"/>
        </w:rPr>
      </w:pPr>
    </w:p>
    <w:p w14:paraId="6D0A08C2">
      <w:pPr>
        <w:spacing w:before="101" w:line="226" w:lineRule="auto"/>
        <w:ind w:left="0" w:firstLine="0" w:firstLineChars="0"/>
        <w:jc w:val="center"/>
        <w:rPr>
          <w:rFonts w:ascii="黑体" w:hAnsi="黑体" w:eastAsia="黑体" w:cs="黑体"/>
          <w:sz w:val="31"/>
          <w:szCs w:val="31"/>
        </w:rPr>
      </w:pPr>
      <w:r>
        <w:rPr>
          <w:rFonts w:ascii="黑体" w:hAnsi="黑体" w:eastAsia="黑体" w:cs="黑体"/>
          <w:spacing w:val="26"/>
          <w:sz w:val="31"/>
          <w:szCs w:val="31"/>
        </w:rPr>
        <w:t>(</w:t>
      </w:r>
      <w:r>
        <w:rPr>
          <w:rFonts w:hint="eastAsia" w:ascii="黑体" w:hAnsi="黑体" w:eastAsia="黑体" w:cs="黑体"/>
          <w:spacing w:val="25"/>
          <w:sz w:val="31"/>
          <w:szCs w:val="31"/>
          <w:lang w:val="en-US" w:eastAsia="zh-CN"/>
        </w:rPr>
        <w:t>征求意见稿</w:t>
      </w:r>
      <w:r>
        <w:rPr>
          <w:rFonts w:ascii="黑体" w:hAnsi="黑体" w:eastAsia="黑体" w:cs="黑体"/>
          <w:spacing w:val="25"/>
          <w:sz w:val="31"/>
          <w:szCs w:val="31"/>
        </w:rPr>
        <w:t>)</w:t>
      </w:r>
    </w:p>
    <w:p w14:paraId="0090E430">
      <w:pPr>
        <w:spacing w:line="242" w:lineRule="auto"/>
        <w:rPr>
          <w:rFonts w:ascii="Arial"/>
          <w:sz w:val="21"/>
        </w:rPr>
      </w:pPr>
    </w:p>
    <w:p w14:paraId="135379C2">
      <w:pPr>
        <w:spacing w:line="242" w:lineRule="auto"/>
        <w:rPr>
          <w:rFonts w:ascii="Arial"/>
          <w:sz w:val="21"/>
        </w:rPr>
      </w:pPr>
    </w:p>
    <w:p w14:paraId="0BAD63D2">
      <w:pPr>
        <w:spacing w:line="242" w:lineRule="auto"/>
        <w:rPr>
          <w:rFonts w:ascii="Arial"/>
          <w:sz w:val="21"/>
        </w:rPr>
      </w:pPr>
    </w:p>
    <w:p w14:paraId="5A234516">
      <w:pPr>
        <w:spacing w:line="242" w:lineRule="auto"/>
        <w:rPr>
          <w:rFonts w:ascii="Arial"/>
          <w:sz w:val="21"/>
        </w:rPr>
      </w:pPr>
    </w:p>
    <w:p w14:paraId="6EECAF92">
      <w:pPr>
        <w:spacing w:line="242" w:lineRule="auto"/>
        <w:rPr>
          <w:rFonts w:ascii="Arial"/>
          <w:sz w:val="21"/>
        </w:rPr>
      </w:pPr>
    </w:p>
    <w:p w14:paraId="34272507">
      <w:pPr>
        <w:spacing w:line="242" w:lineRule="auto"/>
        <w:rPr>
          <w:rFonts w:ascii="Arial"/>
          <w:sz w:val="21"/>
        </w:rPr>
      </w:pPr>
    </w:p>
    <w:p w14:paraId="6B8B517E">
      <w:pPr>
        <w:spacing w:line="242" w:lineRule="auto"/>
        <w:rPr>
          <w:rFonts w:ascii="Arial"/>
          <w:sz w:val="21"/>
        </w:rPr>
      </w:pPr>
    </w:p>
    <w:p w14:paraId="0EF5E3DE">
      <w:pPr>
        <w:spacing w:line="242" w:lineRule="auto"/>
        <w:rPr>
          <w:rFonts w:ascii="Arial"/>
          <w:sz w:val="21"/>
        </w:rPr>
      </w:pPr>
    </w:p>
    <w:p w14:paraId="10941ECE">
      <w:pPr>
        <w:spacing w:line="242" w:lineRule="auto"/>
        <w:rPr>
          <w:rFonts w:ascii="Arial"/>
          <w:sz w:val="21"/>
        </w:rPr>
      </w:pPr>
    </w:p>
    <w:p w14:paraId="1A9A539C">
      <w:pPr>
        <w:spacing w:line="242" w:lineRule="auto"/>
        <w:rPr>
          <w:rFonts w:ascii="Arial"/>
          <w:sz w:val="21"/>
        </w:rPr>
      </w:pPr>
    </w:p>
    <w:p w14:paraId="4F82852D">
      <w:pPr>
        <w:spacing w:line="242" w:lineRule="auto"/>
        <w:rPr>
          <w:rFonts w:ascii="Arial"/>
          <w:sz w:val="21"/>
        </w:rPr>
      </w:pPr>
    </w:p>
    <w:p w14:paraId="57638BCA">
      <w:pPr>
        <w:spacing w:line="242" w:lineRule="auto"/>
        <w:rPr>
          <w:rFonts w:ascii="Arial"/>
          <w:sz w:val="21"/>
        </w:rPr>
      </w:pPr>
    </w:p>
    <w:p w14:paraId="6891FE21">
      <w:pPr>
        <w:spacing w:line="242" w:lineRule="auto"/>
        <w:rPr>
          <w:rFonts w:ascii="Arial"/>
          <w:sz w:val="21"/>
        </w:rPr>
      </w:pPr>
    </w:p>
    <w:p w14:paraId="28E3EB71">
      <w:pPr>
        <w:spacing w:line="242" w:lineRule="auto"/>
        <w:rPr>
          <w:rFonts w:ascii="Arial"/>
          <w:sz w:val="21"/>
        </w:rPr>
      </w:pPr>
    </w:p>
    <w:p w14:paraId="3F7A4895">
      <w:pPr>
        <w:spacing w:line="242" w:lineRule="auto"/>
        <w:rPr>
          <w:rFonts w:ascii="Arial"/>
          <w:sz w:val="21"/>
        </w:rPr>
      </w:pPr>
    </w:p>
    <w:p w14:paraId="53FEF45D">
      <w:pPr>
        <w:spacing w:line="242" w:lineRule="auto"/>
        <w:rPr>
          <w:rFonts w:ascii="Arial"/>
          <w:sz w:val="21"/>
        </w:rPr>
      </w:pPr>
    </w:p>
    <w:p w14:paraId="034A9704">
      <w:pPr>
        <w:spacing w:line="242" w:lineRule="auto"/>
        <w:rPr>
          <w:rFonts w:ascii="Arial"/>
          <w:sz w:val="21"/>
        </w:rPr>
      </w:pPr>
    </w:p>
    <w:p w14:paraId="46959C00">
      <w:pPr>
        <w:spacing w:line="242" w:lineRule="auto"/>
        <w:rPr>
          <w:rFonts w:ascii="Arial"/>
          <w:sz w:val="21"/>
        </w:rPr>
      </w:pPr>
    </w:p>
    <w:p w14:paraId="74577460">
      <w:pPr>
        <w:spacing w:line="242" w:lineRule="auto"/>
        <w:rPr>
          <w:rFonts w:ascii="Arial"/>
          <w:sz w:val="21"/>
        </w:rPr>
      </w:pPr>
    </w:p>
    <w:p w14:paraId="05D3A58F">
      <w:pPr>
        <w:spacing w:line="242" w:lineRule="auto"/>
        <w:rPr>
          <w:rFonts w:ascii="Arial"/>
          <w:sz w:val="21"/>
        </w:rPr>
      </w:pPr>
    </w:p>
    <w:p w14:paraId="4AC95E78">
      <w:pPr>
        <w:spacing w:line="242" w:lineRule="auto"/>
        <w:rPr>
          <w:rFonts w:ascii="Arial"/>
          <w:sz w:val="21"/>
        </w:rPr>
      </w:pPr>
    </w:p>
    <w:p w14:paraId="2930AA44">
      <w:pPr>
        <w:spacing w:line="242" w:lineRule="auto"/>
        <w:rPr>
          <w:rFonts w:ascii="Arial"/>
          <w:sz w:val="21"/>
        </w:rPr>
      </w:pPr>
    </w:p>
    <w:p w14:paraId="4E74EECF">
      <w:pPr>
        <w:spacing w:line="242" w:lineRule="auto"/>
        <w:rPr>
          <w:rFonts w:ascii="Arial"/>
          <w:sz w:val="21"/>
        </w:rPr>
      </w:pPr>
    </w:p>
    <w:p w14:paraId="2FE5FB9D">
      <w:pPr>
        <w:spacing w:line="242" w:lineRule="auto"/>
        <w:rPr>
          <w:rFonts w:ascii="Arial"/>
          <w:sz w:val="21"/>
        </w:rPr>
      </w:pPr>
    </w:p>
    <w:p w14:paraId="54100532">
      <w:pPr>
        <w:spacing w:line="242" w:lineRule="auto"/>
        <w:rPr>
          <w:rFonts w:ascii="Arial"/>
          <w:sz w:val="21"/>
        </w:rPr>
      </w:pPr>
    </w:p>
    <w:p w14:paraId="229B8FB0">
      <w:pPr>
        <w:spacing w:line="242" w:lineRule="auto"/>
        <w:rPr>
          <w:rFonts w:ascii="Arial"/>
          <w:sz w:val="21"/>
        </w:rPr>
      </w:pPr>
    </w:p>
    <w:p w14:paraId="6126D058">
      <w:pPr>
        <w:spacing w:line="242" w:lineRule="auto"/>
        <w:rPr>
          <w:rFonts w:ascii="Arial"/>
          <w:sz w:val="21"/>
        </w:rPr>
      </w:pPr>
    </w:p>
    <w:p w14:paraId="26D8AF85">
      <w:pPr>
        <w:spacing w:line="242" w:lineRule="auto"/>
        <w:rPr>
          <w:rFonts w:ascii="Arial"/>
          <w:sz w:val="21"/>
        </w:rPr>
      </w:pPr>
    </w:p>
    <w:p w14:paraId="42A970E3">
      <w:pPr>
        <w:spacing w:line="242" w:lineRule="auto"/>
        <w:rPr>
          <w:rFonts w:ascii="Arial"/>
          <w:sz w:val="21"/>
        </w:rPr>
      </w:pPr>
    </w:p>
    <w:p w14:paraId="4C43DC9A">
      <w:pPr>
        <w:spacing w:line="243" w:lineRule="auto"/>
        <w:rPr>
          <w:rFonts w:ascii="Arial"/>
          <w:sz w:val="21"/>
        </w:rPr>
      </w:pPr>
    </w:p>
    <w:p w14:paraId="35FEA8F4">
      <w:pPr>
        <w:spacing w:before="101" w:line="225" w:lineRule="auto"/>
        <w:ind w:left="3081"/>
        <w:rPr>
          <w:rFonts w:ascii="宋体" w:hAnsi="宋体" w:eastAsia="宋体" w:cs="宋体"/>
          <w:sz w:val="31"/>
          <w:szCs w:val="31"/>
        </w:rPr>
      </w:pPr>
      <w:r>
        <w:rPr>
          <w:rFonts w:ascii="宋体" w:hAnsi="宋体" w:eastAsia="宋体" w:cs="宋体"/>
          <w:spacing w:val="9"/>
          <w:sz w:val="31"/>
          <w:szCs w:val="31"/>
          <w14:textOutline w14:w="5793" w14:cap="sq" w14:cmpd="sng">
            <w14:solidFill>
              <w14:srgbClr w14:val="000000"/>
            </w14:solidFill>
            <w14:prstDash w14:val="solid"/>
            <w14:bevel/>
          </w14:textOutline>
        </w:rPr>
        <w:t>标准编制工作</w:t>
      </w:r>
      <w:r>
        <w:rPr>
          <w:rFonts w:ascii="宋体" w:hAnsi="宋体" w:eastAsia="宋体" w:cs="宋体"/>
          <w:spacing w:val="8"/>
          <w:sz w:val="31"/>
          <w:szCs w:val="31"/>
          <w14:textOutline w14:w="5793" w14:cap="sq" w14:cmpd="sng">
            <w14:solidFill>
              <w14:srgbClr w14:val="000000"/>
            </w14:solidFill>
            <w14:prstDash w14:val="solid"/>
            <w14:bevel/>
          </w14:textOutline>
        </w:rPr>
        <w:t>组</w:t>
      </w:r>
    </w:p>
    <w:p w14:paraId="05A0ADB5">
      <w:pPr>
        <w:sectPr>
          <w:footerReference r:id="rId5" w:type="default"/>
          <w:pgSz w:w="11906" w:h="16839"/>
          <w:pgMar w:top="1431" w:right="1763" w:bottom="2166" w:left="1760" w:header="0" w:footer="1788" w:gutter="0"/>
          <w:pgNumType w:fmt="decimal"/>
          <w:cols w:space="720" w:num="1"/>
        </w:sectPr>
      </w:pPr>
    </w:p>
    <w:p w14:paraId="2F394861">
      <w:pPr>
        <w:spacing w:line="264" w:lineRule="auto"/>
        <w:rPr>
          <w:rFonts w:ascii="Arial"/>
          <w:sz w:val="21"/>
        </w:rPr>
      </w:pPr>
    </w:p>
    <w:p w14:paraId="53EFCC2C">
      <w:pPr>
        <w:spacing w:before="114" w:line="594" w:lineRule="exact"/>
        <w:ind w:left="33"/>
        <w:outlineLvl w:val="0"/>
        <w:rPr>
          <w:rFonts w:hint="eastAsia" w:ascii="宋体" w:hAnsi="宋体" w:eastAsia="宋体" w:cs="宋体"/>
          <w:sz w:val="32"/>
          <w:szCs w:val="32"/>
        </w:rPr>
      </w:pPr>
      <w:r>
        <w:rPr>
          <w:rFonts w:hint="eastAsia" w:ascii="宋体" w:hAnsi="宋体" w:eastAsia="宋体" w:cs="宋体"/>
          <w:spacing w:val="8"/>
          <w:position w:val="3"/>
          <w:sz w:val="32"/>
          <w:szCs w:val="32"/>
          <w14:textOutline w14:w="6537" w14:cap="sq" w14:cmpd="sng">
            <w14:solidFill>
              <w14:srgbClr w14:val="000000"/>
            </w14:solidFill>
            <w14:prstDash w14:val="solid"/>
            <w14:bevel/>
          </w14:textOutline>
        </w:rPr>
        <w:t>一、工作简</w:t>
      </w:r>
      <w:r>
        <w:rPr>
          <w:rFonts w:hint="eastAsia" w:ascii="宋体" w:hAnsi="宋体" w:eastAsia="宋体" w:cs="宋体"/>
          <w:spacing w:val="7"/>
          <w:position w:val="3"/>
          <w:sz w:val="32"/>
          <w:szCs w:val="32"/>
          <w14:textOutline w14:w="6537" w14:cap="sq" w14:cmpd="sng">
            <w14:solidFill>
              <w14:srgbClr w14:val="000000"/>
            </w14:solidFill>
            <w14:prstDash w14:val="solid"/>
            <w14:bevel/>
          </w14:textOutline>
        </w:rPr>
        <w:t>况</w:t>
      </w:r>
    </w:p>
    <w:p w14:paraId="532295FC">
      <w:pPr>
        <w:spacing w:before="311" w:line="241" w:lineRule="auto"/>
        <w:ind w:left="35"/>
        <w:outlineLvl w:val="1"/>
        <w:rPr>
          <w:rFonts w:hint="eastAsia" w:ascii="宋体" w:hAnsi="宋体" w:eastAsia="宋体" w:cs="宋体"/>
          <w:sz w:val="32"/>
          <w:szCs w:val="32"/>
        </w:rPr>
      </w:pPr>
      <w:r>
        <w:rPr>
          <w:rFonts w:hint="eastAsia" w:ascii="宋体" w:hAnsi="宋体" w:eastAsia="宋体" w:cs="宋体"/>
          <w:b/>
          <w:bCs/>
          <w:spacing w:val="-10"/>
          <w:sz w:val="32"/>
          <w:szCs w:val="32"/>
        </w:rPr>
        <w:t>1</w:t>
      </w:r>
      <w:r>
        <w:rPr>
          <w:rFonts w:hint="eastAsia" w:ascii="宋体" w:hAnsi="宋体" w:eastAsia="宋体" w:cs="宋体"/>
          <w:spacing w:val="-5"/>
          <w:sz w:val="32"/>
          <w:szCs w:val="32"/>
        </w:rPr>
        <w:t xml:space="preserve"> </w:t>
      </w:r>
      <w:r>
        <w:rPr>
          <w:rFonts w:hint="eastAsia" w:ascii="宋体" w:hAnsi="宋体" w:eastAsia="宋体" w:cs="宋体"/>
          <w:spacing w:val="-5"/>
          <w:sz w:val="32"/>
          <w:szCs w:val="32"/>
          <w14:textOutline w14:w="5793" w14:cap="sq" w14:cmpd="sng">
            <w14:solidFill>
              <w14:srgbClr w14:val="000000"/>
            </w14:solidFill>
            <w14:prstDash w14:val="solid"/>
            <w14:bevel/>
          </w14:textOutline>
        </w:rPr>
        <w:t>、任务来源</w:t>
      </w:r>
    </w:p>
    <w:p w14:paraId="74A57E5F">
      <w:pPr>
        <w:spacing w:line="378" w:lineRule="auto"/>
        <w:rPr>
          <w:rFonts w:hint="eastAsia" w:ascii="宋体" w:hAnsi="宋体" w:eastAsia="宋体" w:cs="宋体"/>
          <w:sz w:val="32"/>
          <w:szCs w:val="32"/>
        </w:rPr>
      </w:pPr>
    </w:p>
    <w:p w14:paraId="4E6526D8">
      <w:pPr>
        <w:spacing w:before="100" w:line="225" w:lineRule="auto"/>
        <w:ind w:left="35"/>
        <w:outlineLvl w:val="1"/>
        <w:rPr>
          <w:rFonts w:hint="eastAsia" w:ascii="宋体" w:hAnsi="宋体" w:eastAsia="宋体" w:cs="宋体"/>
          <w:sz w:val="32"/>
          <w:szCs w:val="32"/>
        </w:rPr>
      </w:pPr>
      <w:r>
        <w:rPr>
          <w:rFonts w:hint="eastAsia" w:ascii="宋体" w:hAnsi="宋体" w:eastAsia="宋体" w:cs="宋体"/>
          <w:b/>
          <w:bCs/>
          <w:spacing w:val="7"/>
          <w:sz w:val="32"/>
          <w:szCs w:val="32"/>
        </w:rPr>
        <w:t>1</w:t>
      </w:r>
      <w:r>
        <w:rPr>
          <w:rFonts w:hint="eastAsia" w:ascii="宋体" w:hAnsi="宋体" w:eastAsia="宋体" w:cs="宋体"/>
          <w:b/>
          <w:bCs/>
          <w:spacing w:val="4"/>
          <w:sz w:val="32"/>
          <w:szCs w:val="32"/>
        </w:rPr>
        <w:t>.1</w:t>
      </w:r>
      <w:r>
        <w:rPr>
          <w:rFonts w:hint="eastAsia" w:ascii="宋体" w:hAnsi="宋体" w:eastAsia="宋体" w:cs="宋体"/>
          <w:spacing w:val="4"/>
          <w:sz w:val="32"/>
          <w:szCs w:val="32"/>
        </w:rPr>
        <w:t xml:space="preserve">  </w:t>
      </w:r>
      <w:r>
        <w:rPr>
          <w:rFonts w:hint="eastAsia" w:ascii="宋体" w:hAnsi="宋体" w:eastAsia="宋体" w:cs="宋体"/>
          <w:spacing w:val="4"/>
          <w:sz w:val="32"/>
          <w:szCs w:val="32"/>
          <w14:textOutline w14:w="5793" w14:cap="sq" w14:cmpd="sng">
            <w14:solidFill>
              <w14:srgbClr w14:val="000000"/>
            </w14:solidFill>
            <w14:prstDash w14:val="solid"/>
            <w14:bevel/>
          </w14:textOutline>
        </w:rPr>
        <w:t>任务背景</w:t>
      </w:r>
    </w:p>
    <w:p w14:paraId="2B29439F">
      <w:pPr>
        <w:spacing w:line="437" w:lineRule="auto"/>
        <w:rPr>
          <w:rFonts w:ascii="Arial"/>
          <w:sz w:val="21"/>
        </w:rPr>
      </w:pPr>
    </w:p>
    <w:p w14:paraId="73E80C6E">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2020年9月22日，习近平总书记在第七十五届联合国大会一般性辩论上向世界宣布了中国的新达峰目标与碳中和愿景“中国将提高国家自主贡献力度，采取更加有力的政策和措施，二氧化碳排放力争于2030年前达到峰值，努力争取2060年前实现碳中和，”首次宣示后又连续八次在国际会议上阐述强调。国家政策中将碳达峰、碳中和纳入生态文明建设整体布局，国家各部委迅速响应并积极落实。作为碳排放大国，中国的碳中和承诺是全球应对气候变化的重要组成部分。</w:t>
      </w:r>
    </w:p>
    <w:p w14:paraId="1E03FFC4">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阀门是流体输送系统中的关键控制部件，其分类方式多样</w:t>
      </w:r>
      <w:r>
        <w:rPr>
          <w:rFonts w:hint="eastAsia" w:ascii="宋体" w:hAnsi="宋体" w:eastAsia="宋体" w:cs="宋体"/>
          <w:spacing w:val="12"/>
          <w:sz w:val="24"/>
          <w:szCs w:val="24"/>
          <w:lang w:val="en-US" w:eastAsia="zh-CN"/>
        </w:rPr>
        <w:t>，根据阀门在管道系统中的具体作用，划分为截断阀（闸阀、截止阀、球阀、蝶阀等）、止回阀、调节阀（减压阀、流量调节阀、压差控制阀等）、分流阀（疏水阀、分配阀）等‌</w:t>
      </w:r>
      <w:r>
        <w:rPr>
          <w:rFonts w:hint="default" w:ascii="宋体" w:hAnsi="宋体" w:eastAsia="宋体" w:cs="宋体"/>
          <w:spacing w:val="12"/>
          <w:sz w:val="24"/>
          <w:szCs w:val="24"/>
          <w:lang w:val="en-US" w:eastAsia="zh-CN"/>
        </w:rPr>
        <w:t>。目前，全国阀门行业市场规模达到‌171亿美元‌，稳居全球首位，占全球市场份额的35%。我国是</w:t>
      </w:r>
      <w:r>
        <w:rPr>
          <w:rFonts w:hint="eastAsia" w:ascii="宋体" w:hAnsi="宋体" w:eastAsia="宋体" w:cs="宋体"/>
          <w:spacing w:val="12"/>
          <w:sz w:val="24"/>
          <w:szCs w:val="24"/>
          <w:lang w:val="en-US" w:eastAsia="zh-CN"/>
        </w:rPr>
        <w:t>建筑阀门</w:t>
      </w:r>
      <w:r>
        <w:rPr>
          <w:rFonts w:hint="default" w:ascii="宋体" w:hAnsi="宋体" w:eastAsia="宋体" w:cs="宋体"/>
          <w:spacing w:val="12"/>
          <w:sz w:val="24"/>
          <w:szCs w:val="24"/>
          <w:lang w:val="en-US" w:eastAsia="zh-CN"/>
        </w:rPr>
        <w:t>制造大国，产量约占世界</w:t>
      </w:r>
      <w:r>
        <w:rPr>
          <w:rFonts w:hint="eastAsia" w:ascii="宋体" w:hAnsi="宋体" w:eastAsia="宋体" w:cs="宋体"/>
          <w:spacing w:val="12"/>
          <w:sz w:val="24"/>
          <w:szCs w:val="24"/>
          <w:lang w:val="en-US" w:eastAsia="zh-CN"/>
        </w:rPr>
        <w:t>1</w:t>
      </w:r>
      <w:r>
        <w:rPr>
          <w:rFonts w:hint="default" w:ascii="宋体" w:hAnsi="宋体" w:eastAsia="宋体" w:cs="宋体"/>
          <w:spacing w:val="12"/>
          <w:sz w:val="24"/>
          <w:szCs w:val="24"/>
          <w:lang w:val="en-US" w:eastAsia="zh-CN"/>
        </w:rPr>
        <w:t>/3以上，</w:t>
      </w:r>
      <w:r>
        <w:rPr>
          <w:rFonts w:hint="eastAsia" w:ascii="宋体" w:hAnsi="宋体" w:eastAsia="宋体" w:cs="宋体"/>
          <w:spacing w:val="12"/>
          <w:sz w:val="24"/>
          <w:szCs w:val="24"/>
          <w:lang w:val="en-US" w:eastAsia="zh-CN"/>
        </w:rPr>
        <w:t>主要产地在</w:t>
      </w:r>
      <w:r>
        <w:rPr>
          <w:rFonts w:hint="default" w:ascii="宋体" w:hAnsi="宋体" w:eastAsia="宋体" w:cs="宋体"/>
          <w:spacing w:val="12"/>
          <w:sz w:val="24"/>
          <w:szCs w:val="24"/>
          <w:lang w:val="en-US" w:eastAsia="zh-CN"/>
        </w:rPr>
        <w:t>江苏、浙江、山东</w:t>
      </w:r>
      <w:r>
        <w:rPr>
          <w:rFonts w:hint="eastAsia" w:ascii="宋体" w:hAnsi="宋体" w:eastAsia="宋体" w:cs="宋体"/>
          <w:spacing w:val="12"/>
          <w:sz w:val="24"/>
          <w:szCs w:val="24"/>
          <w:lang w:val="en-US" w:eastAsia="zh-CN"/>
        </w:rPr>
        <w:t>等省，形成</w:t>
      </w:r>
      <w:r>
        <w:rPr>
          <w:rFonts w:hint="default" w:ascii="宋体" w:hAnsi="宋体" w:eastAsia="宋体" w:cs="宋体"/>
          <w:spacing w:val="12"/>
          <w:sz w:val="24"/>
          <w:szCs w:val="24"/>
          <w:lang w:val="en-US" w:eastAsia="zh-CN"/>
        </w:rPr>
        <w:t>长三角、珠三角、环渤海三大产业集群</w:t>
      </w:r>
      <w:r>
        <w:rPr>
          <w:rFonts w:hint="eastAsia" w:ascii="宋体" w:hAnsi="宋体" w:eastAsia="宋体" w:cs="宋体"/>
          <w:spacing w:val="12"/>
          <w:sz w:val="24"/>
          <w:szCs w:val="24"/>
          <w:lang w:val="en-US" w:eastAsia="zh-CN"/>
        </w:rPr>
        <w:t>，</w:t>
      </w:r>
      <w:r>
        <w:rPr>
          <w:rFonts w:hint="default" w:ascii="宋体" w:hAnsi="宋体" w:eastAsia="宋体" w:cs="宋体"/>
          <w:spacing w:val="12"/>
          <w:sz w:val="24"/>
          <w:szCs w:val="24"/>
          <w:lang w:val="en-US" w:eastAsia="zh-CN"/>
        </w:rPr>
        <w:t>占据全国60%以上市场份额</w:t>
      </w:r>
      <w:r>
        <w:rPr>
          <w:rFonts w:hint="eastAsia" w:ascii="宋体" w:hAnsi="宋体" w:eastAsia="宋体" w:cs="宋体"/>
          <w:spacing w:val="12"/>
          <w:sz w:val="24"/>
          <w:szCs w:val="24"/>
          <w:lang w:val="en-US" w:eastAsia="zh-CN"/>
        </w:rPr>
        <w:t>。我国开展碳足迹研究相对较晚，尚未形成完善的认证体系，当前大部分产品参照国际标准开展碳足迹评价。随着全球应对气候变化进程不断加快，产品碳足迹评价规范势必成为引领绿色消费的利剑，具有重要的现实意义。</w:t>
      </w:r>
    </w:p>
    <w:p w14:paraId="43B567E6">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根据《关于下达2023年第一批协会标准制订计划的通知》（中建材联标发〔2023〕6号），《产品碳足迹 产品种类规则 建筑阀门》（2023-10-xbjh）作为团体标准立项。由中国建筑材料联合会归口，编制工作由北京建筑材料检验研究院</w:t>
      </w:r>
      <w:r>
        <w:rPr>
          <w:rFonts w:hint="eastAsia" w:ascii="宋体" w:hAnsi="宋体" w:eastAsia="宋体" w:cs="宋体"/>
          <w:spacing w:val="12"/>
          <w:sz w:val="24"/>
          <w:szCs w:val="24"/>
          <w:lang w:val="en-US" w:eastAsia="zh-CN"/>
        </w:rPr>
        <w:t>作为牵头机构，起草编制，后为与国标通则保持一致，与行业现有碳足迹标准协调，标准名称统一调整为《温室气体 产品碳足迹量化方法与要求 建筑阀门》。</w:t>
      </w:r>
    </w:p>
    <w:p w14:paraId="269FB226">
      <w:pPr>
        <w:spacing w:before="101" w:line="225" w:lineRule="auto"/>
        <w:ind w:left="35"/>
        <w:outlineLvl w:val="1"/>
        <w:rPr>
          <w:rFonts w:ascii="宋体" w:hAnsi="宋体" w:eastAsia="宋体" w:cs="宋体"/>
          <w:sz w:val="31"/>
          <w:szCs w:val="31"/>
        </w:rPr>
      </w:pPr>
      <w:r>
        <w:rPr>
          <w:rFonts w:ascii="Times New Roman" w:hAnsi="Times New Roman" w:eastAsia="Times New Roman" w:cs="Times New Roman"/>
          <w:b/>
          <w:bCs/>
          <w:spacing w:val="10"/>
          <w:sz w:val="31"/>
          <w:szCs w:val="31"/>
        </w:rPr>
        <w:t>1</w:t>
      </w:r>
      <w:r>
        <w:rPr>
          <w:rFonts w:ascii="Times New Roman" w:hAnsi="Times New Roman" w:eastAsia="Times New Roman" w:cs="Times New Roman"/>
          <w:b/>
          <w:bCs/>
          <w:spacing w:val="5"/>
          <w:sz w:val="31"/>
          <w:szCs w:val="31"/>
        </w:rPr>
        <w:t>.2</w:t>
      </w:r>
      <w:r>
        <w:rPr>
          <w:rFonts w:ascii="Times New Roman" w:hAnsi="Times New Roman" w:eastAsia="Times New Roman" w:cs="Times New Roman"/>
          <w:spacing w:val="5"/>
          <w:sz w:val="31"/>
          <w:szCs w:val="31"/>
        </w:rPr>
        <w:t xml:space="preserve">  </w:t>
      </w:r>
      <w:r>
        <w:rPr>
          <w:rFonts w:ascii="宋体" w:hAnsi="宋体" w:eastAsia="宋体" w:cs="宋体"/>
          <w:spacing w:val="5"/>
          <w:sz w:val="31"/>
          <w:szCs w:val="31"/>
          <w14:textOutline w14:w="5793" w14:cap="sq" w14:cmpd="sng">
            <w14:solidFill>
              <w14:srgbClr w14:val="000000"/>
            </w14:solidFill>
            <w14:prstDash w14:val="solid"/>
            <w14:bevel/>
          </w14:textOutline>
        </w:rPr>
        <w:t>主要工作过程</w:t>
      </w:r>
    </w:p>
    <w:p w14:paraId="4EAC2C56">
      <w:pPr>
        <w:spacing w:line="433" w:lineRule="auto"/>
        <w:rPr>
          <w:rFonts w:ascii="Arial"/>
          <w:sz w:val="21"/>
        </w:rPr>
      </w:pPr>
    </w:p>
    <w:p w14:paraId="242ADC21">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202</w:t>
      </w:r>
      <w:r>
        <w:rPr>
          <w:rFonts w:hint="eastAsia" w:ascii="宋体" w:hAnsi="宋体" w:eastAsia="宋体" w:cs="宋体"/>
          <w:spacing w:val="12"/>
          <w:sz w:val="24"/>
          <w:szCs w:val="24"/>
          <w:lang w:val="en-US" w:eastAsia="zh-CN"/>
        </w:rPr>
        <w:t>3</w:t>
      </w:r>
      <w:r>
        <w:rPr>
          <w:rFonts w:hint="default" w:ascii="宋体" w:hAnsi="宋体" w:eastAsia="宋体" w:cs="宋体"/>
          <w:spacing w:val="12"/>
          <w:sz w:val="24"/>
          <w:szCs w:val="24"/>
          <w:lang w:val="en-US" w:eastAsia="zh-CN"/>
        </w:rPr>
        <w:t>年0</w:t>
      </w:r>
      <w:r>
        <w:rPr>
          <w:rFonts w:hint="eastAsia" w:ascii="宋体" w:hAnsi="宋体" w:eastAsia="宋体" w:cs="宋体"/>
          <w:spacing w:val="12"/>
          <w:sz w:val="24"/>
          <w:szCs w:val="24"/>
          <w:lang w:val="en-US" w:eastAsia="zh-CN"/>
        </w:rPr>
        <w:t>1</w:t>
      </w:r>
      <w:r>
        <w:rPr>
          <w:rFonts w:hint="default" w:ascii="宋体" w:hAnsi="宋体" w:eastAsia="宋体" w:cs="宋体"/>
          <w:spacing w:val="12"/>
          <w:sz w:val="24"/>
          <w:szCs w:val="24"/>
          <w:lang w:val="en-US" w:eastAsia="zh-CN"/>
        </w:rPr>
        <w:t>月，</w:t>
      </w:r>
      <w:r>
        <w:rPr>
          <w:rFonts w:hint="eastAsia" w:ascii="宋体" w:hAnsi="宋体" w:eastAsia="宋体" w:cs="宋体"/>
          <w:spacing w:val="12"/>
          <w:sz w:val="24"/>
          <w:szCs w:val="24"/>
          <w:lang w:val="en-US" w:eastAsia="zh-CN"/>
        </w:rPr>
        <w:t>中国建筑材料联合会</w:t>
      </w:r>
      <w:r>
        <w:rPr>
          <w:rFonts w:hint="default" w:ascii="宋体" w:hAnsi="宋体" w:eastAsia="宋体" w:cs="宋体"/>
          <w:spacing w:val="12"/>
          <w:sz w:val="24"/>
          <w:szCs w:val="24"/>
          <w:lang w:val="en-US" w:eastAsia="zh-CN"/>
        </w:rPr>
        <w:t xml:space="preserve">下达《产品碳足迹 产品种类规则 </w:t>
      </w:r>
      <w:r>
        <w:rPr>
          <w:rFonts w:hint="eastAsia" w:ascii="宋体" w:hAnsi="宋体" w:eastAsia="宋体" w:cs="宋体"/>
          <w:spacing w:val="12"/>
          <w:sz w:val="24"/>
          <w:szCs w:val="24"/>
          <w:lang w:val="en-US" w:eastAsia="zh-CN"/>
        </w:rPr>
        <w:t>建筑阀门</w:t>
      </w:r>
      <w:r>
        <w:rPr>
          <w:rFonts w:hint="default" w:ascii="宋体" w:hAnsi="宋体" w:eastAsia="宋体" w:cs="宋体"/>
          <w:spacing w:val="12"/>
          <w:sz w:val="24"/>
          <w:szCs w:val="24"/>
          <w:lang w:val="en-US" w:eastAsia="zh-CN"/>
        </w:rPr>
        <w:t>》</w:t>
      </w:r>
      <w:r>
        <w:rPr>
          <w:rFonts w:hint="eastAsia" w:ascii="宋体" w:hAnsi="宋体" w:eastAsia="宋体" w:cs="宋体"/>
          <w:spacing w:val="12"/>
          <w:sz w:val="24"/>
          <w:szCs w:val="24"/>
          <w:lang w:val="en-US" w:eastAsia="zh-CN"/>
        </w:rPr>
        <w:t>团标</w:t>
      </w:r>
      <w:r>
        <w:rPr>
          <w:rFonts w:hint="default" w:ascii="宋体" w:hAnsi="宋体" w:eastAsia="宋体" w:cs="宋体"/>
          <w:spacing w:val="12"/>
          <w:sz w:val="24"/>
          <w:szCs w:val="24"/>
          <w:lang w:val="en-US" w:eastAsia="zh-CN"/>
        </w:rPr>
        <w:t>立项文件，由</w:t>
      </w:r>
      <w:r>
        <w:rPr>
          <w:rFonts w:hint="eastAsia" w:ascii="宋体" w:hAnsi="宋体" w:eastAsia="宋体" w:cs="宋体"/>
          <w:spacing w:val="12"/>
          <w:sz w:val="24"/>
          <w:szCs w:val="24"/>
          <w:lang w:val="en-US" w:eastAsia="zh-CN"/>
        </w:rPr>
        <w:t>北京建筑材料检验研究院股份有限公司、北京国建联信认证中心有限公司</w:t>
      </w:r>
      <w:r>
        <w:rPr>
          <w:rFonts w:hint="default" w:ascii="宋体" w:hAnsi="宋体" w:eastAsia="宋体" w:cs="宋体"/>
          <w:spacing w:val="12"/>
          <w:sz w:val="24"/>
          <w:szCs w:val="24"/>
          <w:lang w:val="en-US" w:eastAsia="zh-CN"/>
        </w:rPr>
        <w:t>等牵头。落实标准编制组成员具体分工，确定标准制定方案及时间节点，确保项目按时完成。具体分工如下。</w:t>
      </w:r>
    </w:p>
    <w:p w14:paraId="4EF33AE9">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pacing w:val="-7"/>
          <w:sz w:val="24"/>
          <w:szCs w:val="24"/>
        </w:rPr>
        <w:t>表</w:t>
      </w:r>
      <w:r>
        <w:rPr>
          <w:rFonts w:hint="default" w:ascii="Times New Roman" w:hAnsi="Times New Roman" w:eastAsia="宋体" w:cs="Times New Roman"/>
          <w:spacing w:val="-32"/>
          <w:sz w:val="24"/>
          <w:szCs w:val="24"/>
        </w:rPr>
        <w:t xml:space="preserve"> </w:t>
      </w:r>
      <w:r>
        <w:rPr>
          <w:rFonts w:hint="default" w:ascii="Times New Roman" w:hAnsi="Times New Roman" w:eastAsia="宋体" w:cs="Times New Roman"/>
          <w:spacing w:val="-7"/>
          <w:sz w:val="24"/>
          <w:szCs w:val="24"/>
        </w:rPr>
        <w:t>1</w:t>
      </w:r>
      <w:r>
        <w:rPr>
          <w:rFonts w:hint="default" w:ascii="Times New Roman" w:hAnsi="Times New Roman" w:eastAsia="宋体" w:cs="Times New Roman"/>
          <w:spacing w:val="2"/>
          <w:sz w:val="24"/>
          <w:szCs w:val="24"/>
        </w:rPr>
        <w:t xml:space="preserve">    </w:t>
      </w:r>
      <w:r>
        <w:rPr>
          <w:rFonts w:hint="default" w:ascii="Times New Roman" w:hAnsi="Times New Roman" w:eastAsia="宋体" w:cs="Times New Roman"/>
          <w:spacing w:val="-7"/>
          <w:sz w:val="24"/>
          <w:szCs w:val="24"/>
        </w:rPr>
        <w:t>编制组分工</w:t>
      </w:r>
    </w:p>
    <w:tbl>
      <w:tblPr>
        <w:tblStyle w:val="19"/>
        <w:tblW w:w="8054" w:type="dxa"/>
        <w:tblInd w:w="13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27"/>
        <w:gridCol w:w="3927"/>
      </w:tblGrid>
      <w:tr w14:paraId="37C6F6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4127" w:type="dxa"/>
            <w:vAlign w:val="center"/>
          </w:tcPr>
          <w:p w14:paraId="44243FB3">
            <w:pPr>
              <w:pStyle w:val="24"/>
              <w:spacing w:before="56" w:line="228" w:lineRule="auto"/>
              <w:ind w:left="1650"/>
              <w:jc w:val="both"/>
              <w:rPr>
                <w:sz w:val="24"/>
                <w:szCs w:val="24"/>
              </w:rPr>
            </w:pPr>
            <w:r>
              <w:rPr>
                <w:spacing w:val="6"/>
                <w:sz w:val="24"/>
                <w:szCs w:val="24"/>
              </w:rPr>
              <w:t>单位名称</w:t>
            </w:r>
          </w:p>
        </w:tc>
        <w:tc>
          <w:tcPr>
            <w:tcW w:w="3927" w:type="dxa"/>
            <w:vAlign w:val="center"/>
          </w:tcPr>
          <w:p w14:paraId="12957BF7">
            <w:pPr>
              <w:pStyle w:val="24"/>
              <w:spacing w:before="56" w:line="228" w:lineRule="auto"/>
              <w:ind w:left="1551"/>
              <w:jc w:val="both"/>
              <w:rPr>
                <w:sz w:val="24"/>
                <w:szCs w:val="24"/>
              </w:rPr>
            </w:pPr>
            <w:r>
              <w:rPr>
                <w:spacing w:val="6"/>
                <w:sz w:val="24"/>
                <w:szCs w:val="24"/>
              </w:rPr>
              <w:t>工作内容</w:t>
            </w:r>
          </w:p>
        </w:tc>
      </w:tr>
      <w:tr w14:paraId="4F789D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1" w:hRule="atLeast"/>
        </w:trPr>
        <w:tc>
          <w:tcPr>
            <w:tcW w:w="4127" w:type="dxa"/>
            <w:vAlign w:val="center"/>
          </w:tcPr>
          <w:p w14:paraId="5866B152">
            <w:pPr>
              <w:pStyle w:val="24"/>
              <w:spacing w:before="53" w:line="273" w:lineRule="auto"/>
              <w:ind w:left="114" w:right="37"/>
              <w:jc w:val="center"/>
              <w:rPr>
                <w:rFonts w:hint="default"/>
                <w:spacing w:val="-2"/>
                <w:sz w:val="24"/>
                <w:szCs w:val="24"/>
                <w:highlight w:val="none"/>
                <w:lang w:val="en-US" w:eastAsia="zh-CN"/>
              </w:rPr>
            </w:pPr>
            <w:r>
              <w:rPr>
                <w:rFonts w:hint="eastAsia"/>
                <w:spacing w:val="-2"/>
                <w:sz w:val="24"/>
                <w:szCs w:val="24"/>
                <w:highlight w:val="none"/>
                <w:lang w:val="en-US" w:eastAsia="zh-CN"/>
              </w:rPr>
              <w:t>北京建筑材料检验研究院股份有限公司</w:t>
            </w:r>
          </w:p>
        </w:tc>
        <w:tc>
          <w:tcPr>
            <w:tcW w:w="3927" w:type="dxa"/>
            <w:vAlign w:val="center"/>
          </w:tcPr>
          <w:p w14:paraId="506CE3C6">
            <w:pPr>
              <w:pStyle w:val="24"/>
              <w:spacing w:before="53" w:line="273" w:lineRule="auto"/>
              <w:ind w:left="114" w:right="37"/>
              <w:jc w:val="center"/>
              <w:rPr>
                <w:rFonts w:hint="eastAsia" w:eastAsia="宋体"/>
                <w:spacing w:val="-2"/>
                <w:sz w:val="24"/>
                <w:szCs w:val="24"/>
                <w:highlight w:val="none"/>
                <w:lang w:eastAsia="zh-CN"/>
              </w:rPr>
            </w:pPr>
            <w:r>
              <w:rPr>
                <w:spacing w:val="-2"/>
                <w:sz w:val="24"/>
                <w:szCs w:val="24"/>
                <w:highlight w:val="none"/>
              </w:rPr>
              <w:t>牵头单位，负责标准统筹，标准文本编制、 标准进度把控、提供行业发展情况、负责 安排企业调研、配合联合会组织各项会议的召开</w:t>
            </w:r>
            <w:r>
              <w:rPr>
                <w:rFonts w:hint="eastAsia"/>
                <w:spacing w:val="-2"/>
                <w:sz w:val="24"/>
                <w:szCs w:val="24"/>
                <w:highlight w:val="none"/>
                <w:lang w:eastAsia="zh-CN"/>
              </w:rPr>
              <w:t>。</w:t>
            </w:r>
          </w:p>
        </w:tc>
      </w:tr>
      <w:tr w14:paraId="2425D6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127" w:type="dxa"/>
            <w:vAlign w:val="center"/>
          </w:tcPr>
          <w:p w14:paraId="61A7C713">
            <w:pPr>
              <w:pStyle w:val="24"/>
              <w:spacing w:before="53" w:line="273" w:lineRule="auto"/>
              <w:ind w:left="114" w:right="37"/>
              <w:jc w:val="center"/>
              <w:rPr>
                <w:rFonts w:hint="eastAsia"/>
                <w:spacing w:val="-2"/>
                <w:sz w:val="24"/>
                <w:szCs w:val="24"/>
                <w:highlight w:val="none"/>
                <w:lang w:eastAsia="zh-CN"/>
              </w:rPr>
            </w:pPr>
            <w:r>
              <w:rPr>
                <w:rFonts w:hint="eastAsia"/>
                <w:spacing w:val="-2"/>
                <w:sz w:val="24"/>
                <w:szCs w:val="24"/>
                <w:highlight w:val="none"/>
                <w:lang w:val="en-US" w:eastAsia="zh-CN"/>
              </w:rPr>
              <w:t>北京国建联信认证中心有限公司</w:t>
            </w:r>
          </w:p>
        </w:tc>
        <w:tc>
          <w:tcPr>
            <w:tcW w:w="3927" w:type="dxa"/>
            <w:vAlign w:val="center"/>
          </w:tcPr>
          <w:p w14:paraId="5BACDDC5">
            <w:pPr>
              <w:pStyle w:val="24"/>
              <w:spacing w:before="53" w:line="273" w:lineRule="auto"/>
              <w:ind w:left="114" w:right="37"/>
              <w:jc w:val="center"/>
              <w:rPr>
                <w:spacing w:val="-2"/>
                <w:sz w:val="24"/>
                <w:szCs w:val="24"/>
                <w:highlight w:val="none"/>
              </w:rPr>
            </w:pPr>
            <w:r>
              <w:rPr>
                <w:rFonts w:hint="eastAsia"/>
                <w:spacing w:val="-2"/>
                <w:sz w:val="24"/>
                <w:szCs w:val="24"/>
                <w:highlight w:val="none"/>
                <w:lang w:val="en-US" w:eastAsia="zh-CN"/>
              </w:rPr>
              <w:t>提供行业碳排放等情况。</w:t>
            </w:r>
          </w:p>
        </w:tc>
      </w:tr>
      <w:tr w14:paraId="1043FC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127" w:type="dxa"/>
            <w:vAlign w:val="center"/>
          </w:tcPr>
          <w:p w14:paraId="2BA3FF8E">
            <w:pPr>
              <w:pStyle w:val="24"/>
              <w:spacing w:before="53" w:line="273" w:lineRule="auto"/>
              <w:ind w:left="114" w:right="37"/>
              <w:jc w:val="center"/>
              <w:rPr>
                <w:rFonts w:hint="eastAsia"/>
                <w:spacing w:val="-2"/>
                <w:sz w:val="24"/>
                <w:szCs w:val="24"/>
                <w:highlight w:val="none"/>
                <w:lang w:val="en-US" w:eastAsia="zh-CN"/>
              </w:rPr>
            </w:pPr>
            <w:r>
              <w:rPr>
                <w:rFonts w:hint="eastAsia"/>
                <w:spacing w:val="-2"/>
                <w:sz w:val="24"/>
                <w:szCs w:val="24"/>
                <w:highlight w:val="none"/>
                <w:lang w:val="en-US" w:eastAsia="zh-CN"/>
              </w:rPr>
              <w:t>济南迈克阀门科技有限公司、欧文托普（中国）暖通空调系统技术有限公司、远大阀门集团有限公司、博纳斯威阀门股份有限公司、宁波埃美柯铜阀门有限公司</w:t>
            </w:r>
          </w:p>
        </w:tc>
        <w:tc>
          <w:tcPr>
            <w:tcW w:w="3927" w:type="dxa"/>
            <w:vAlign w:val="center"/>
          </w:tcPr>
          <w:p w14:paraId="292FC6B9">
            <w:pPr>
              <w:pStyle w:val="24"/>
              <w:spacing w:before="53" w:line="273" w:lineRule="auto"/>
              <w:ind w:left="114" w:right="37"/>
              <w:jc w:val="center"/>
              <w:rPr>
                <w:rFonts w:hint="eastAsia" w:eastAsia="宋体"/>
                <w:spacing w:val="-2"/>
                <w:sz w:val="24"/>
                <w:szCs w:val="24"/>
                <w:highlight w:val="none"/>
                <w:lang w:eastAsia="zh-CN"/>
              </w:rPr>
            </w:pPr>
            <w:r>
              <w:rPr>
                <w:spacing w:val="-2"/>
                <w:sz w:val="24"/>
                <w:szCs w:val="24"/>
                <w:highlight w:val="none"/>
              </w:rPr>
              <w:t>参与标准数据收集和标准验证工作</w:t>
            </w:r>
            <w:r>
              <w:rPr>
                <w:rFonts w:hint="eastAsia"/>
                <w:spacing w:val="-2"/>
                <w:sz w:val="24"/>
                <w:szCs w:val="24"/>
                <w:highlight w:val="none"/>
                <w:lang w:eastAsia="zh-CN"/>
              </w:rPr>
              <w:t>、</w:t>
            </w:r>
            <w:r>
              <w:rPr>
                <w:rFonts w:hint="eastAsia"/>
                <w:spacing w:val="-2"/>
                <w:sz w:val="24"/>
                <w:szCs w:val="24"/>
                <w:highlight w:val="none"/>
                <w:lang w:val="en-US" w:eastAsia="zh-CN"/>
              </w:rPr>
              <w:t>生命周期现场数据提供。</w:t>
            </w:r>
          </w:p>
        </w:tc>
      </w:tr>
    </w:tbl>
    <w:p w14:paraId="15587EA4">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202</w:t>
      </w:r>
      <w:r>
        <w:rPr>
          <w:rFonts w:hint="eastAsia" w:ascii="宋体" w:hAnsi="宋体" w:eastAsia="宋体" w:cs="宋体"/>
          <w:spacing w:val="12"/>
          <w:sz w:val="24"/>
          <w:szCs w:val="24"/>
          <w:lang w:val="en-US" w:eastAsia="zh-CN"/>
        </w:rPr>
        <w:t>3</w:t>
      </w:r>
      <w:r>
        <w:rPr>
          <w:rFonts w:hint="default" w:ascii="宋体" w:hAnsi="宋体" w:eastAsia="宋体" w:cs="宋体"/>
          <w:spacing w:val="12"/>
          <w:sz w:val="24"/>
          <w:szCs w:val="24"/>
          <w:lang w:val="en-US" w:eastAsia="zh-CN"/>
        </w:rPr>
        <w:t>年</w:t>
      </w:r>
      <w:r>
        <w:rPr>
          <w:rFonts w:hint="eastAsia" w:ascii="宋体" w:hAnsi="宋体" w:eastAsia="宋体" w:cs="宋体"/>
          <w:spacing w:val="12"/>
          <w:sz w:val="24"/>
          <w:szCs w:val="24"/>
          <w:lang w:val="en-US" w:eastAsia="zh-CN"/>
        </w:rPr>
        <w:t>3月-6</w:t>
      </w:r>
      <w:r>
        <w:rPr>
          <w:rFonts w:hint="default" w:ascii="宋体" w:hAnsi="宋体" w:eastAsia="宋体" w:cs="宋体"/>
          <w:spacing w:val="12"/>
          <w:sz w:val="24"/>
          <w:szCs w:val="24"/>
          <w:lang w:val="en-US" w:eastAsia="zh-CN"/>
        </w:rPr>
        <w:t>月，开展主要企业调研</w:t>
      </w:r>
      <w:r>
        <w:rPr>
          <w:rFonts w:hint="eastAsia" w:ascii="宋体" w:hAnsi="宋体" w:eastAsia="宋体" w:cs="宋体"/>
          <w:spacing w:val="12"/>
          <w:sz w:val="24"/>
          <w:szCs w:val="24"/>
          <w:lang w:val="en-US" w:eastAsia="zh-CN"/>
        </w:rPr>
        <w:t>，</w:t>
      </w:r>
      <w:r>
        <w:rPr>
          <w:rFonts w:hint="default" w:ascii="宋体" w:hAnsi="宋体" w:eastAsia="宋体" w:cs="宋体"/>
          <w:spacing w:val="12"/>
          <w:sz w:val="24"/>
          <w:szCs w:val="24"/>
          <w:lang w:val="en-US" w:eastAsia="zh-CN"/>
        </w:rPr>
        <w:t>标准编制组编制完成标准草案</w:t>
      </w:r>
      <w:r>
        <w:rPr>
          <w:rFonts w:hint="eastAsia" w:ascii="宋体" w:hAnsi="宋体" w:eastAsia="宋体" w:cs="宋体"/>
          <w:spacing w:val="12"/>
          <w:sz w:val="24"/>
          <w:szCs w:val="24"/>
          <w:lang w:val="en-US" w:eastAsia="zh-CN"/>
        </w:rPr>
        <w:t>。</w:t>
      </w:r>
    </w:p>
    <w:p w14:paraId="0798685E">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2023年7月-12月，完成了标准数据采集工作，确定了原材料数据库种类和主要能源类别；</w:t>
      </w:r>
    </w:p>
    <w:p w14:paraId="7407F86B">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2024年1月-2025年9月编制组组织开展行业调研，指标验证及确认，形成标准征求意见稿。</w:t>
      </w:r>
    </w:p>
    <w:p w14:paraId="738D4498">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2025年10月-12月，编制组召开标准研讨会，大家对标准编制的框架、技术指标制定及行业调研数据的搜集结果展开了充分的研讨，形成标准征求意见稿，并完成编制说明</w:t>
      </w:r>
      <w:bookmarkStart w:id="20" w:name="_GoBack"/>
      <w:bookmarkEnd w:id="20"/>
      <w:r>
        <w:rPr>
          <w:rFonts w:hint="eastAsia" w:ascii="宋体" w:hAnsi="宋体" w:eastAsia="宋体" w:cs="宋体"/>
          <w:spacing w:val="12"/>
          <w:sz w:val="24"/>
          <w:szCs w:val="24"/>
          <w:lang w:val="en-US" w:eastAsia="zh-CN"/>
        </w:rPr>
        <w:t>。</w:t>
      </w:r>
    </w:p>
    <w:p w14:paraId="4DD3C253">
      <w:pPr>
        <w:spacing w:before="181" w:line="472" w:lineRule="exact"/>
        <w:ind w:left="33"/>
        <w:outlineLvl w:val="0"/>
        <w:rPr>
          <w:rFonts w:ascii="宋体" w:hAnsi="宋体" w:eastAsia="宋体" w:cs="宋体"/>
          <w:sz w:val="35"/>
          <w:szCs w:val="35"/>
        </w:rPr>
      </w:pPr>
      <w:r>
        <w:rPr>
          <w:rFonts w:ascii="宋体" w:hAnsi="宋体" w:eastAsia="宋体" w:cs="宋体"/>
          <w:spacing w:val="18"/>
          <w:position w:val="2"/>
          <w:sz w:val="35"/>
          <w:szCs w:val="35"/>
          <w14:textOutline w14:w="6537" w14:cap="sq" w14:cmpd="sng">
            <w14:solidFill>
              <w14:srgbClr w14:val="000000"/>
            </w14:solidFill>
            <w14:prstDash w14:val="solid"/>
            <w14:bevel/>
          </w14:textOutline>
        </w:rPr>
        <w:t>二</w:t>
      </w:r>
      <w:r>
        <w:rPr>
          <w:rFonts w:ascii="宋体" w:hAnsi="宋体" w:eastAsia="宋体" w:cs="宋体"/>
          <w:spacing w:val="9"/>
          <w:position w:val="2"/>
          <w:sz w:val="35"/>
          <w:szCs w:val="35"/>
          <w14:textOutline w14:w="6537" w14:cap="sq" w14:cmpd="sng">
            <w14:solidFill>
              <w14:srgbClr w14:val="000000"/>
            </w14:solidFill>
            <w14:prstDash w14:val="solid"/>
            <w14:bevel/>
          </w14:textOutline>
        </w:rPr>
        <w:t>、标准编制原则和主要内容</w:t>
      </w:r>
    </w:p>
    <w:p w14:paraId="3918991C">
      <w:pPr>
        <w:spacing w:line="331" w:lineRule="auto"/>
        <w:rPr>
          <w:rFonts w:ascii="Arial"/>
          <w:sz w:val="21"/>
        </w:rPr>
      </w:pPr>
    </w:p>
    <w:p w14:paraId="39E58299">
      <w:pPr>
        <w:spacing w:before="101" w:line="224" w:lineRule="auto"/>
        <w:ind w:left="21"/>
        <w:outlineLvl w:val="1"/>
        <w:rPr>
          <w:rFonts w:ascii="宋体" w:hAnsi="宋体" w:eastAsia="宋体" w:cs="宋体"/>
          <w:sz w:val="31"/>
          <w:szCs w:val="31"/>
        </w:rPr>
      </w:pPr>
      <w:r>
        <w:rPr>
          <w:rFonts w:ascii="Times New Roman" w:hAnsi="Times New Roman" w:eastAsia="Times New Roman" w:cs="Times New Roman"/>
          <w:b/>
          <w:bCs/>
          <w:spacing w:val="14"/>
          <w:sz w:val="31"/>
          <w:szCs w:val="31"/>
        </w:rPr>
        <w:t>2</w:t>
      </w:r>
      <w:r>
        <w:rPr>
          <w:rFonts w:ascii="Times New Roman" w:hAnsi="Times New Roman" w:eastAsia="Times New Roman" w:cs="Times New Roman"/>
          <w:b/>
          <w:bCs/>
          <w:spacing w:val="10"/>
          <w:sz w:val="31"/>
          <w:szCs w:val="31"/>
        </w:rPr>
        <w:t>.</w:t>
      </w:r>
      <w:r>
        <w:rPr>
          <w:rFonts w:ascii="Times New Roman" w:hAnsi="Times New Roman" w:eastAsia="Times New Roman" w:cs="Times New Roman"/>
          <w:b/>
          <w:bCs/>
          <w:spacing w:val="7"/>
          <w:sz w:val="31"/>
          <w:szCs w:val="31"/>
        </w:rPr>
        <w:t>1</w:t>
      </w:r>
      <w:r>
        <w:rPr>
          <w:rFonts w:ascii="Times New Roman" w:hAnsi="Times New Roman" w:eastAsia="Times New Roman" w:cs="Times New Roman"/>
          <w:spacing w:val="7"/>
          <w:sz w:val="31"/>
          <w:szCs w:val="31"/>
        </w:rPr>
        <w:t xml:space="preserve">  </w:t>
      </w:r>
      <w:r>
        <w:rPr>
          <w:rFonts w:ascii="宋体" w:hAnsi="宋体" w:eastAsia="宋体" w:cs="宋体"/>
          <w:spacing w:val="7"/>
          <w:sz w:val="31"/>
          <w:szCs w:val="31"/>
          <w14:textOutline w14:w="5793" w14:cap="sq" w14:cmpd="sng">
            <w14:solidFill>
              <w14:srgbClr w14:val="000000"/>
            </w14:solidFill>
            <w14:prstDash w14:val="solid"/>
            <w14:bevel/>
          </w14:textOutline>
        </w:rPr>
        <w:t>标准编制原则和依据</w:t>
      </w:r>
    </w:p>
    <w:p w14:paraId="71E7CE79">
      <w:pPr>
        <w:spacing w:line="432" w:lineRule="auto"/>
        <w:rPr>
          <w:rFonts w:ascii="Arial"/>
          <w:sz w:val="21"/>
        </w:rPr>
      </w:pPr>
    </w:p>
    <w:p w14:paraId="50CA0218">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遵循标准编制先进性、科学性、一致性和可行性的原则。在编制 过程中，以 GB/T 1. 1-2020《标准化工作导则 第1部分：标准化文件的结构和起草规则》为指导，在符合国家现行法律、法规以及行业政策要求的前提下，广泛调研国内相关行业企业实际生产情况。</w:t>
      </w:r>
    </w:p>
    <w:p w14:paraId="4ED061CF">
      <w:pPr>
        <w:spacing w:before="223" w:line="225" w:lineRule="auto"/>
        <w:ind w:left="21"/>
        <w:outlineLvl w:val="1"/>
        <w:rPr>
          <w:rFonts w:ascii="宋体" w:hAnsi="宋体" w:eastAsia="宋体" w:cs="宋体"/>
          <w:sz w:val="31"/>
          <w:szCs w:val="31"/>
        </w:rPr>
      </w:pPr>
      <w:r>
        <w:rPr>
          <w:rFonts w:ascii="Times New Roman" w:hAnsi="Times New Roman" w:eastAsia="Times New Roman" w:cs="Times New Roman"/>
          <w:b/>
          <w:bCs/>
          <w:spacing w:val="11"/>
          <w:sz w:val="31"/>
          <w:szCs w:val="31"/>
        </w:rPr>
        <w:t>2</w:t>
      </w:r>
      <w:r>
        <w:rPr>
          <w:rFonts w:ascii="Times New Roman" w:hAnsi="Times New Roman" w:eastAsia="Times New Roman" w:cs="Times New Roman"/>
          <w:b/>
          <w:bCs/>
          <w:spacing w:val="8"/>
          <w:sz w:val="31"/>
          <w:szCs w:val="31"/>
        </w:rPr>
        <w:t>.2</w:t>
      </w:r>
      <w:r>
        <w:rPr>
          <w:rFonts w:ascii="Times New Roman" w:hAnsi="Times New Roman" w:eastAsia="Times New Roman" w:cs="Times New Roman"/>
          <w:spacing w:val="8"/>
          <w:sz w:val="31"/>
          <w:szCs w:val="31"/>
        </w:rPr>
        <w:t xml:space="preserve">  </w:t>
      </w:r>
      <w:r>
        <w:rPr>
          <w:rFonts w:ascii="宋体" w:hAnsi="宋体" w:eastAsia="宋体" w:cs="宋体"/>
          <w:spacing w:val="8"/>
          <w:sz w:val="31"/>
          <w:szCs w:val="31"/>
          <w14:textOutline w14:w="5793" w14:cap="sq" w14:cmpd="sng">
            <w14:solidFill>
              <w14:srgbClr w14:val="000000"/>
            </w14:solidFill>
            <w14:prstDash w14:val="solid"/>
            <w14:bevel/>
          </w14:textOutline>
        </w:rPr>
        <w:t>标准适用范围及主要内容</w:t>
      </w:r>
    </w:p>
    <w:p w14:paraId="1ED63A50">
      <w:pPr>
        <w:spacing w:line="405" w:lineRule="auto"/>
        <w:rPr>
          <w:rFonts w:ascii="Arial"/>
          <w:sz w:val="21"/>
        </w:rPr>
      </w:pPr>
    </w:p>
    <w:p w14:paraId="60BB3DD8">
      <w:pPr>
        <w:spacing w:before="102" w:line="225" w:lineRule="auto"/>
        <w:ind w:left="21"/>
        <w:outlineLvl w:val="2"/>
        <w:rPr>
          <w:rFonts w:ascii="宋体" w:hAnsi="宋体" w:eastAsia="宋体" w:cs="宋体"/>
          <w:sz w:val="31"/>
          <w:szCs w:val="31"/>
        </w:rPr>
      </w:pPr>
      <w:r>
        <w:rPr>
          <w:rFonts w:ascii="Times New Roman" w:hAnsi="Times New Roman" w:eastAsia="Times New Roman" w:cs="Times New Roman"/>
          <w:b/>
          <w:bCs/>
          <w:spacing w:val="5"/>
          <w:sz w:val="31"/>
          <w:szCs w:val="31"/>
        </w:rPr>
        <w:t>2</w:t>
      </w:r>
      <w:r>
        <w:rPr>
          <w:rFonts w:ascii="Times New Roman" w:hAnsi="Times New Roman" w:eastAsia="Times New Roman" w:cs="Times New Roman"/>
          <w:b/>
          <w:bCs/>
          <w:spacing w:val="4"/>
          <w:sz w:val="31"/>
          <w:szCs w:val="31"/>
        </w:rPr>
        <w:t>.2.1</w:t>
      </w:r>
      <w:r>
        <w:rPr>
          <w:rFonts w:ascii="Times New Roman" w:hAnsi="Times New Roman" w:eastAsia="Times New Roman" w:cs="Times New Roman"/>
          <w:spacing w:val="4"/>
          <w:sz w:val="31"/>
          <w:szCs w:val="31"/>
        </w:rPr>
        <w:t xml:space="preserve">  </w:t>
      </w:r>
      <w:r>
        <w:rPr>
          <w:rFonts w:ascii="宋体" w:hAnsi="宋体" w:eastAsia="宋体" w:cs="宋体"/>
          <w:spacing w:val="4"/>
          <w:sz w:val="31"/>
          <w:szCs w:val="31"/>
          <w14:textOutline w14:w="5793" w14:cap="sq" w14:cmpd="sng">
            <w14:solidFill>
              <w14:srgbClr w14:val="000000"/>
            </w14:solidFill>
            <w14:prstDash w14:val="solid"/>
            <w14:bevel/>
          </w14:textOutline>
        </w:rPr>
        <w:t>范围</w:t>
      </w:r>
    </w:p>
    <w:p w14:paraId="17B1C430">
      <w:pPr>
        <w:spacing w:line="430" w:lineRule="auto"/>
        <w:rPr>
          <w:rFonts w:ascii="Arial"/>
          <w:sz w:val="21"/>
        </w:rPr>
      </w:pPr>
    </w:p>
    <w:p w14:paraId="0A3B36BB">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本文件规定了建筑阀门产品碳足迹的量化目的、量化范围、清单分析、影响评价、结果解释、鉴定性评审、可比性、绩效追踪以及报告等内容。</w:t>
      </w:r>
    </w:p>
    <w:p w14:paraId="0FA6C3F4">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本文件适用于建筑阀门产品的碳足迹量化与评价。</w:t>
      </w:r>
    </w:p>
    <w:p w14:paraId="00E40816">
      <w:pPr>
        <w:spacing w:before="162" w:line="225" w:lineRule="auto"/>
        <w:ind w:left="21"/>
        <w:outlineLvl w:val="2"/>
        <w:rPr>
          <w:rFonts w:ascii="宋体" w:hAnsi="宋体" w:eastAsia="宋体" w:cs="宋体"/>
          <w:sz w:val="31"/>
          <w:szCs w:val="31"/>
        </w:rPr>
      </w:pPr>
      <w:r>
        <w:rPr>
          <w:rFonts w:ascii="Times New Roman" w:hAnsi="Times New Roman" w:eastAsia="Times New Roman" w:cs="Times New Roman"/>
          <w:b/>
          <w:bCs/>
          <w:spacing w:val="12"/>
          <w:sz w:val="31"/>
          <w:szCs w:val="31"/>
        </w:rPr>
        <w:t>2</w:t>
      </w:r>
      <w:r>
        <w:rPr>
          <w:rFonts w:ascii="Times New Roman" w:hAnsi="Times New Roman" w:eastAsia="Times New Roman" w:cs="Times New Roman"/>
          <w:b/>
          <w:bCs/>
          <w:spacing w:val="8"/>
          <w:sz w:val="31"/>
          <w:szCs w:val="31"/>
        </w:rPr>
        <w:t>.</w:t>
      </w:r>
      <w:r>
        <w:rPr>
          <w:rFonts w:ascii="Times New Roman" w:hAnsi="Times New Roman" w:eastAsia="Times New Roman" w:cs="Times New Roman"/>
          <w:b/>
          <w:bCs/>
          <w:spacing w:val="6"/>
          <w:sz w:val="31"/>
          <w:szCs w:val="31"/>
        </w:rPr>
        <w:t>2.2</w:t>
      </w:r>
      <w:r>
        <w:rPr>
          <w:rFonts w:ascii="Times New Roman" w:hAnsi="Times New Roman" w:eastAsia="Times New Roman" w:cs="Times New Roman"/>
          <w:spacing w:val="6"/>
          <w:sz w:val="31"/>
          <w:szCs w:val="31"/>
        </w:rPr>
        <w:t xml:space="preserve">  </w:t>
      </w:r>
      <w:r>
        <w:rPr>
          <w:rFonts w:ascii="宋体" w:hAnsi="宋体" w:eastAsia="宋体" w:cs="宋体"/>
          <w:spacing w:val="6"/>
          <w:sz w:val="31"/>
          <w:szCs w:val="31"/>
          <w14:textOutline w14:w="5793" w14:cap="sq" w14:cmpd="sng">
            <w14:solidFill>
              <w14:srgbClr w14:val="000000"/>
            </w14:solidFill>
            <w14:prstDash w14:val="solid"/>
            <w14:bevel/>
          </w14:textOutline>
        </w:rPr>
        <w:t>规范性引用文件</w:t>
      </w:r>
    </w:p>
    <w:p w14:paraId="2EAD3EEB">
      <w:pPr>
        <w:spacing w:line="434" w:lineRule="auto"/>
        <w:rPr>
          <w:rFonts w:ascii="Arial"/>
          <w:sz w:val="21"/>
        </w:rPr>
      </w:pPr>
    </w:p>
    <w:p w14:paraId="261425C3">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下列文件中的内容通过文中的规范性引用而构成本文件必不可少的条款。其 中，注日期的引用文件，仅该日期对应的版本适用于本文件；不注日期的引用文 件，其最新版本（包括所有的修改单）适用于本文件。本文件主要规范性引用了</w:t>
      </w:r>
      <w:r>
        <w:rPr>
          <w:rFonts w:hint="default" w:ascii="宋体" w:hAnsi="宋体" w:eastAsia="宋体" w:cs="宋体"/>
          <w:spacing w:val="12"/>
          <w:sz w:val="24"/>
          <w:szCs w:val="24"/>
          <w:lang w:val="en-US" w:eastAsia="zh-CN"/>
        </w:rPr>
        <w:t xml:space="preserve">GB/T 21465 </w:t>
      </w:r>
      <w:r>
        <w:rPr>
          <w:rFonts w:hint="eastAsia" w:ascii="宋体" w:hAnsi="宋体" w:eastAsia="宋体" w:cs="宋体"/>
          <w:spacing w:val="12"/>
          <w:sz w:val="24"/>
          <w:szCs w:val="24"/>
          <w:lang w:val="en-US" w:eastAsia="zh-CN"/>
        </w:rPr>
        <w:t>《</w:t>
      </w:r>
      <w:r>
        <w:rPr>
          <w:rFonts w:hint="default" w:ascii="宋体" w:hAnsi="宋体" w:eastAsia="宋体" w:cs="宋体"/>
          <w:spacing w:val="12"/>
          <w:sz w:val="24"/>
          <w:szCs w:val="24"/>
          <w:lang w:val="en-US" w:eastAsia="zh-CN"/>
        </w:rPr>
        <w:t>阀门 术语</w:t>
      </w:r>
      <w:r>
        <w:rPr>
          <w:rFonts w:hint="eastAsia" w:ascii="宋体" w:hAnsi="宋体" w:eastAsia="宋体" w:cs="宋体"/>
          <w:spacing w:val="12"/>
          <w:sz w:val="24"/>
          <w:szCs w:val="24"/>
          <w:lang w:val="en-US" w:eastAsia="zh-CN"/>
        </w:rPr>
        <w:t>》、GB/T 24067-2024《温室气体 产品碳足迹 量化要求和指南》、ISO 14071《Environmental management-Life cycle assessment - Critical review processes and reviewer competencies》等标准。</w:t>
      </w:r>
    </w:p>
    <w:p w14:paraId="6D874C60">
      <w:pPr>
        <w:spacing w:before="222" w:line="225" w:lineRule="auto"/>
        <w:ind w:left="21"/>
        <w:outlineLvl w:val="2"/>
        <w:rPr>
          <w:rFonts w:ascii="宋体" w:hAnsi="宋体" w:eastAsia="宋体" w:cs="宋体"/>
          <w:sz w:val="31"/>
          <w:szCs w:val="31"/>
        </w:rPr>
      </w:pPr>
      <w:r>
        <w:rPr>
          <w:rFonts w:ascii="Times New Roman" w:hAnsi="Times New Roman" w:eastAsia="Times New Roman" w:cs="Times New Roman"/>
          <w:b/>
          <w:bCs/>
          <w:spacing w:val="10"/>
          <w:sz w:val="31"/>
          <w:szCs w:val="31"/>
        </w:rPr>
        <w:t>2</w:t>
      </w:r>
      <w:r>
        <w:rPr>
          <w:rFonts w:ascii="Times New Roman" w:hAnsi="Times New Roman" w:eastAsia="Times New Roman" w:cs="Times New Roman"/>
          <w:b/>
          <w:bCs/>
          <w:spacing w:val="9"/>
          <w:sz w:val="31"/>
          <w:szCs w:val="31"/>
        </w:rPr>
        <w:t>.</w:t>
      </w:r>
      <w:r>
        <w:rPr>
          <w:rFonts w:ascii="Times New Roman" w:hAnsi="Times New Roman" w:eastAsia="Times New Roman" w:cs="Times New Roman"/>
          <w:b/>
          <w:bCs/>
          <w:spacing w:val="5"/>
          <w:sz w:val="31"/>
          <w:szCs w:val="31"/>
        </w:rPr>
        <w:t>2.3</w:t>
      </w:r>
      <w:r>
        <w:rPr>
          <w:rFonts w:ascii="Times New Roman" w:hAnsi="Times New Roman" w:eastAsia="Times New Roman" w:cs="Times New Roman"/>
          <w:spacing w:val="5"/>
          <w:sz w:val="31"/>
          <w:szCs w:val="31"/>
        </w:rPr>
        <w:t xml:space="preserve">  </w:t>
      </w:r>
      <w:r>
        <w:rPr>
          <w:rFonts w:ascii="宋体" w:hAnsi="宋体" w:eastAsia="宋体" w:cs="宋体"/>
          <w:spacing w:val="5"/>
          <w:sz w:val="31"/>
          <w:szCs w:val="31"/>
          <w14:textOutline w14:w="5793" w14:cap="sq" w14:cmpd="sng">
            <w14:solidFill>
              <w14:srgbClr w14:val="000000"/>
            </w14:solidFill>
            <w14:prstDash w14:val="solid"/>
            <w14:bevel/>
          </w14:textOutline>
        </w:rPr>
        <w:t>术语和定义</w:t>
      </w:r>
    </w:p>
    <w:p w14:paraId="71308518">
      <w:pPr>
        <w:spacing w:line="431" w:lineRule="auto"/>
        <w:rPr>
          <w:rFonts w:ascii="Arial"/>
          <w:sz w:val="21"/>
        </w:rPr>
      </w:pPr>
    </w:p>
    <w:p w14:paraId="469D3E6B">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在充分考虑本标准适用范围以及参考其他相关标准定义的基础上给出本标准的术语和定义。</w:t>
      </w:r>
    </w:p>
    <w:p w14:paraId="42ACBADF">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参考 GB/T 21465</w:t>
      </w:r>
      <w:r>
        <w:rPr>
          <w:rFonts w:hint="eastAsia" w:ascii="宋体" w:hAnsi="宋体" w:eastAsia="宋体" w:cs="宋体"/>
          <w:spacing w:val="12"/>
          <w:sz w:val="24"/>
          <w:szCs w:val="24"/>
          <w:lang w:val="en-US" w:eastAsia="zh-CN"/>
        </w:rPr>
        <w:t>和</w:t>
      </w:r>
      <w:r>
        <w:rPr>
          <w:rFonts w:hint="default" w:ascii="宋体" w:hAnsi="宋体" w:eastAsia="宋体" w:cs="宋体"/>
          <w:spacing w:val="12"/>
          <w:sz w:val="24"/>
          <w:szCs w:val="24"/>
          <w:lang w:val="en-US" w:eastAsia="zh-CN"/>
        </w:rPr>
        <w:t>GB/T 24067现行相关标准</w:t>
      </w:r>
      <w:r>
        <w:rPr>
          <w:rFonts w:hint="eastAsia" w:ascii="宋体" w:hAnsi="宋体" w:eastAsia="宋体" w:cs="宋体"/>
          <w:spacing w:val="12"/>
          <w:sz w:val="24"/>
          <w:szCs w:val="24"/>
          <w:lang w:val="en-US" w:eastAsia="zh-CN"/>
        </w:rPr>
        <w:t>，对建筑阀门、温室气体、产品碳足迹、产品部分碳足迹、产品碳足迹绩效追踪、全球变暖潜势、二氧化碳当量、温室气体排放量、温室气体排放因子、产品系统、共生产品、系统边界、单元过程、功能单位、声明单位、初级数据、现场数据、次级数据等</w:t>
      </w:r>
      <w:r>
        <w:rPr>
          <w:rFonts w:hint="default" w:ascii="宋体" w:hAnsi="宋体" w:eastAsia="宋体" w:cs="宋体"/>
          <w:spacing w:val="12"/>
          <w:sz w:val="24"/>
          <w:szCs w:val="24"/>
          <w:lang w:val="en-US" w:eastAsia="zh-CN"/>
        </w:rPr>
        <w:t>关键性术语作相关定义。</w:t>
      </w:r>
    </w:p>
    <w:p w14:paraId="3A92CD3C">
      <w:pPr>
        <w:spacing w:before="221" w:line="223" w:lineRule="auto"/>
        <w:ind w:left="21"/>
        <w:outlineLvl w:val="2"/>
        <w:rPr>
          <w:rFonts w:hint="default" w:ascii="宋体" w:hAnsi="宋体" w:eastAsia="宋体" w:cs="宋体"/>
          <w:sz w:val="31"/>
          <w:szCs w:val="31"/>
          <w:lang w:val="en-US" w:eastAsia="zh-CN"/>
        </w:rPr>
      </w:pPr>
      <w:r>
        <w:rPr>
          <w:rFonts w:ascii="Times New Roman" w:hAnsi="Times New Roman" w:eastAsia="Times New Roman" w:cs="Times New Roman"/>
          <w:b/>
          <w:bCs/>
          <w:spacing w:val="10"/>
          <w:sz w:val="31"/>
          <w:szCs w:val="31"/>
        </w:rPr>
        <w:t>2</w:t>
      </w:r>
      <w:r>
        <w:rPr>
          <w:rFonts w:ascii="Times New Roman" w:hAnsi="Times New Roman" w:eastAsia="Times New Roman" w:cs="Times New Roman"/>
          <w:b/>
          <w:bCs/>
          <w:spacing w:val="5"/>
          <w:sz w:val="31"/>
          <w:szCs w:val="31"/>
        </w:rPr>
        <w:t>.2.4</w:t>
      </w:r>
      <w:r>
        <w:rPr>
          <w:rFonts w:ascii="Times New Roman" w:hAnsi="Times New Roman" w:eastAsia="Times New Roman" w:cs="Times New Roman"/>
          <w:spacing w:val="5"/>
          <w:sz w:val="31"/>
          <w:szCs w:val="31"/>
        </w:rPr>
        <w:t xml:space="preserve">  </w:t>
      </w:r>
      <w:r>
        <w:rPr>
          <w:rFonts w:hint="eastAsia" w:ascii="宋体" w:hAnsi="宋体" w:eastAsia="宋体" w:cs="宋体"/>
          <w:spacing w:val="5"/>
          <w:sz w:val="31"/>
          <w:szCs w:val="31"/>
          <w:lang w:val="en-US" w:eastAsia="zh-CN"/>
          <w14:textOutline w14:w="5793" w14:cap="sq" w14:cmpd="sng">
            <w14:solidFill>
              <w14:srgbClr w14:val="000000"/>
            </w14:solidFill>
            <w14:prstDash w14:val="solid"/>
            <w14:bevel/>
          </w14:textOutline>
        </w:rPr>
        <w:t>量化目的</w:t>
      </w:r>
    </w:p>
    <w:p w14:paraId="24927DD7">
      <w:pPr>
        <w:spacing w:line="454" w:lineRule="auto"/>
        <w:rPr>
          <w:rFonts w:ascii="Arial"/>
          <w:sz w:val="21"/>
        </w:rPr>
      </w:pPr>
    </w:p>
    <w:p w14:paraId="602E7EF9">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本文件用于量化建筑阀门产品生命周期或选定阶段的温室气体排放量，基于本文件开展碳足迹量化的目的包括但不限于以下方面：</w:t>
      </w:r>
    </w:p>
    <w:p w14:paraId="4E38FCCB">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量化</w:t>
      </w:r>
      <w:r>
        <w:rPr>
          <w:rFonts w:hint="default" w:ascii="宋体" w:hAnsi="宋体" w:eastAsia="宋体" w:cs="宋体"/>
          <w:spacing w:val="12"/>
          <w:sz w:val="24"/>
          <w:szCs w:val="24"/>
          <w:lang w:val="en-US" w:eastAsia="zh-CN"/>
        </w:rPr>
        <w:t>目的的确定是生命周期评价中的第一步，也是至为重要的一步，其重要性在于它决定为什么要进行</w:t>
      </w:r>
      <w:r>
        <w:rPr>
          <w:rFonts w:hint="eastAsia" w:ascii="宋体" w:hAnsi="宋体" w:eastAsia="宋体" w:cs="宋体"/>
          <w:spacing w:val="12"/>
          <w:sz w:val="24"/>
          <w:szCs w:val="24"/>
          <w:lang w:val="en-US" w:eastAsia="zh-CN"/>
        </w:rPr>
        <w:t>建筑阀门产品</w:t>
      </w:r>
      <w:r>
        <w:rPr>
          <w:rFonts w:hint="default" w:ascii="宋体" w:hAnsi="宋体" w:eastAsia="宋体" w:cs="宋体"/>
          <w:spacing w:val="12"/>
          <w:sz w:val="24"/>
          <w:szCs w:val="24"/>
          <w:lang w:val="en-US" w:eastAsia="zh-CN"/>
        </w:rPr>
        <w:t>某项生命周期评价（包括对其结果的应用意图）。</w:t>
      </w:r>
    </w:p>
    <w:p w14:paraId="63B2C8FF">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通过精准计算</w:t>
      </w:r>
      <w:r>
        <w:rPr>
          <w:rFonts w:hint="eastAsia" w:ascii="宋体" w:hAnsi="宋体" w:eastAsia="宋体" w:cs="宋体"/>
          <w:spacing w:val="12"/>
          <w:sz w:val="24"/>
          <w:szCs w:val="24"/>
          <w:lang w:val="en-US" w:eastAsia="zh-CN"/>
        </w:rPr>
        <w:t>建筑阀门产品</w:t>
      </w:r>
      <w:r>
        <w:rPr>
          <w:rFonts w:hint="default" w:ascii="宋体" w:hAnsi="宋体" w:eastAsia="宋体" w:cs="宋体"/>
          <w:spacing w:val="12"/>
          <w:sz w:val="24"/>
          <w:szCs w:val="24"/>
          <w:lang w:val="en-US" w:eastAsia="zh-CN"/>
        </w:rPr>
        <w:t>全生命周期的碳排放，来科学评估</w:t>
      </w:r>
      <w:r>
        <w:rPr>
          <w:rFonts w:hint="eastAsia" w:ascii="宋体" w:hAnsi="宋体" w:eastAsia="宋体" w:cs="宋体"/>
          <w:spacing w:val="12"/>
          <w:sz w:val="24"/>
          <w:szCs w:val="24"/>
          <w:lang w:val="en-US" w:eastAsia="zh-CN"/>
        </w:rPr>
        <w:t>其</w:t>
      </w:r>
      <w:r>
        <w:rPr>
          <w:rFonts w:hint="default" w:ascii="宋体" w:hAnsi="宋体" w:eastAsia="宋体" w:cs="宋体"/>
          <w:spacing w:val="12"/>
          <w:sz w:val="24"/>
          <w:szCs w:val="24"/>
          <w:lang w:val="en-US" w:eastAsia="zh-CN"/>
        </w:rPr>
        <w:t>对气候变化的潜在影响。这不仅是响应全球气候行动的必要手段，更是企业绿色转型和提升竞争力的关键。</w:t>
      </w:r>
    </w:p>
    <w:p w14:paraId="3C131F8E">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让生产者、上下游供应链和消费者之间能清晰、高效地沟通温室气体排放信息，从而推动全产业链的绿色转型。</w:t>
      </w:r>
    </w:p>
    <w:p w14:paraId="21F030F5">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帮助</w:t>
      </w:r>
      <w:r>
        <w:rPr>
          <w:rFonts w:hint="default" w:ascii="宋体" w:hAnsi="宋体" w:eastAsia="宋体" w:cs="宋体"/>
          <w:spacing w:val="12"/>
          <w:sz w:val="24"/>
          <w:szCs w:val="24"/>
          <w:lang w:val="en-US" w:eastAsia="zh-CN"/>
        </w:rPr>
        <w:t>生产者精准找到减排突破口，同时为同类产品提供科学的对比基准</w:t>
      </w:r>
      <w:r>
        <w:rPr>
          <w:rFonts w:hint="eastAsia" w:ascii="宋体" w:hAnsi="宋体" w:eastAsia="宋体" w:cs="宋体"/>
          <w:spacing w:val="12"/>
          <w:sz w:val="24"/>
          <w:szCs w:val="24"/>
          <w:lang w:val="en-US" w:eastAsia="zh-CN"/>
        </w:rPr>
        <w:t>。既助力企业优化设计、降低排放，又通过对比推动行业技术升级和市场选择。</w:t>
      </w:r>
    </w:p>
    <w:p w14:paraId="020F215E">
      <w:pPr>
        <w:spacing w:before="91" w:line="411" w:lineRule="auto"/>
        <w:ind w:right="239"/>
        <w:rPr>
          <w:rFonts w:hint="eastAsia" w:ascii="宋体" w:hAnsi="宋体" w:eastAsia="宋体" w:cs="宋体"/>
          <w:spacing w:val="12"/>
          <w:sz w:val="28"/>
          <w:szCs w:val="28"/>
        </w:rPr>
      </w:pPr>
      <w:r>
        <w:rPr>
          <w:rFonts w:hint="eastAsia" w:ascii="Times New Roman" w:hAnsi="Times New Roman" w:eastAsia="宋体" w:cs="Times New Roman"/>
          <w:b/>
          <w:bCs/>
          <w:spacing w:val="10"/>
          <w:sz w:val="31"/>
          <w:szCs w:val="31"/>
          <w:lang w:val="en-US" w:eastAsia="zh-CN"/>
        </w:rPr>
        <w:t>2.2.</w:t>
      </w:r>
      <w:r>
        <w:rPr>
          <w:rFonts w:hint="eastAsia" w:ascii="Times New Roman" w:hAnsi="Times New Roman" w:eastAsia="Times New Roman" w:cs="Times New Roman"/>
          <w:b/>
          <w:bCs/>
          <w:spacing w:val="10"/>
          <w:sz w:val="31"/>
          <w:szCs w:val="31"/>
        </w:rPr>
        <w:t>5</w:t>
      </w:r>
      <w:r>
        <w:rPr>
          <w:rFonts w:hint="eastAsia" w:ascii="Times New Roman" w:hAnsi="Times New Roman" w:eastAsia="宋体" w:cs="Times New Roman"/>
          <w:b/>
          <w:bCs/>
          <w:spacing w:val="10"/>
          <w:sz w:val="31"/>
          <w:szCs w:val="31"/>
          <w:lang w:val="en-US" w:eastAsia="zh-CN"/>
        </w:rPr>
        <w:t xml:space="preserve">  </w:t>
      </w:r>
      <w:r>
        <w:rPr>
          <w:rFonts w:hint="eastAsia" w:ascii="Times New Roman" w:hAnsi="Times New Roman" w:eastAsia="Times New Roman" w:cs="Times New Roman"/>
          <w:b/>
          <w:bCs/>
          <w:spacing w:val="10"/>
          <w:sz w:val="31"/>
          <w:szCs w:val="31"/>
        </w:rPr>
        <w:t>量化范围</w:t>
      </w:r>
    </w:p>
    <w:p w14:paraId="7527BCC6">
      <w:pPr>
        <w:spacing w:before="91" w:line="411" w:lineRule="auto"/>
        <w:ind w:left="27" w:right="239" w:firstLine="555"/>
        <w:rPr>
          <w:rFonts w:hint="eastAsia" w:ascii="宋体" w:hAnsi="宋体" w:eastAsia="宋体" w:cs="宋体"/>
          <w:spacing w:val="12"/>
          <w:sz w:val="24"/>
          <w:szCs w:val="24"/>
        </w:rPr>
      </w:pPr>
      <w:r>
        <w:rPr>
          <w:rFonts w:hint="eastAsia" w:ascii="宋体" w:hAnsi="宋体" w:eastAsia="宋体" w:cs="宋体"/>
          <w:spacing w:val="12"/>
          <w:sz w:val="24"/>
          <w:szCs w:val="24"/>
          <w:lang w:val="en-US" w:eastAsia="zh-CN"/>
        </w:rPr>
        <w:t>2.2.</w:t>
      </w:r>
      <w:r>
        <w:rPr>
          <w:rFonts w:hint="eastAsia" w:ascii="宋体" w:hAnsi="宋体" w:eastAsia="宋体" w:cs="宋体"/>
          <w:spacing w:val="12"/>
          <w:sz w:val="24"/>
          <w:szCs w:val="24"/>
        </w:rPr>
        <w:t>5.1.产品描述</w:t>
      </w:r>
    </w:p>
    <w:p w14:paraId="16779394">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依据建筑阀门对应的产品标准描述产品系统及其功能，包括产品名称、规格型号、材料、配套装置、尺寸、用途等。</w:t>
      </w:r>
    </w:p>
    <w:p w14:paraId="16404B14">
      <w:pPr>
        <w:spacing w:before="91" w:line="411" w:lineRule="auto"/>
        <w:ind w:left="27" w:right="239" w:firstLine="555"/>
        <w:rPr>
          <w:rFonts w:hint="eastAsia" w:ascii="宋体" w:hAnsi="宋体" w:eastAsia="宋体" w:cs="宋体"/>
          <w:spacing w:val="12"/>
          <w:sz w:val="24"/>
          <w:szCs w:val="24"/>
        </w:rPr>
      </w:pPr>
      <w:r>
        <w:rPr>
          <w:rFonts w:hint="eastAsia" w:ascii="宋体" w:hAnsi="宋体" w:eastAsia="宋体" w:cs="宋体"/>
          <w:spacing w:val="12"/>
          <w:sz w:val="24"/>
          <w:szCs w:val="24"/>
          <w:lang w:val="en-US" w:eastAsia="zh-CN"/>
        </w:rPr>
        <w:t>2.2.</w:t>
      </w:r>
      <w:r>
        <w:rPr>
          <w:rFonts w:hint="eastAsia" w:ascii="宋体" w:hAnsi="宋体" w:eastAsia="宋体" w:cs="宋体"/>
          <w:spacing w:val="12"/>
          <w:sz w:val="24"/>
          <w:szCs w:val="24"/>
        </w:rPr>
        <w:t>5.2.系统边界</w:t>
      </w:r>
    </w:p>
    <w:p w14:paraId="15AFD047">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1）</w:t>
      </w:r>
      <w:r>
        <w:rPr>
          <w:rFonts w:hint="default" w:ascii="宋体" w:hAnsi="宋体" w:eastAsia="宋体" w:cs="宋体"/>
          <w:spacing w:val="12"/>
          <w:sz w:val="24"/>
          <w:szCs w:val="24"/>
          <w:lang w:val="en-US" w:eastAsia="zh-CN"/>
        </w:rPr>
        <w:t>确定系统边界，即确定要纳入到模型化系统的单元过程。本文件依据GB/T 24067</w:t>
      </w:r>
      <w:r>
        <w:rPr>
          <w:rFonts w:hint="eastAsia" w:ascii="宋体" w:hAnsi="宋体" w:eastAsia="宋体" w:cs="宋体"/>
          <w:spacing w:val="12"/>
          <w:sz w:val="24"/>
          <w:szCs w:val="24"/>
          <w:lang w:val="en-US" w:eastAsia="zh-CN"/>
        </w:rPr>
        <w:t>-2024</w:t>
      </w:r>
      <w:r>
        <w:rPr>
          <w:rFonts w:hint="default" w:ascii="宋体" w:hAnsi="宋体" w:eastAsia="宋体" w:cs="宋体"/>
          <w:spacing w:val="12"/>
          <w:sz w:val="24"/>
          <w:szCs w:val="24"/>
          <w:lang w:val="en-US" w:eastAsia="zh-CN"/>
        </w:rPr>
        <w:t>中产品碳足迹和产品部分碳足迹的规定，将</w:t>
      </w:r>
      <w:r>
        <w:rPr>
          <w:rFonts w:hint="eastAsia" w:ascii="宋体" w:hAnsi="宋体" w:eastAsia="宋体" w:cs="宋体"/>
          <w:spacing w:val="12"/>
          <w:sz w:val="24"/>
          <w:szCs w:val="24"/>
          <w:lang w:val="en-US" w:eastAsia="zh-CN"/>
        </w:rPr>
        <w:t>建筑阀门</w:t>
      </w:r>
      <w:r>
        <w:rPr>
          <w:rFonts w:hint="default" w:ascii="宋体" w:hAnsi="宋体" w:eastAsia="宋体" w:cs="宋体"/>
          <w:spacing w:val="12"/>
          <w:sz w:val="24"/>
          <w:szCs w:val="24"/>
          <w:lang w:val="en-US" w:eastAsia="zh-CN"/>
        </w:rPr>
        <w:t>的系统边界界定为原材料阶段、生产阶段、分销和储存阶段、使用阶段、回收处理和处置阶段。可根据</w:t>
      </w:r>
      <w:r>
        <w:rPr>
          <w:rFonts w:hint="eastAsia" w:ascii="宋体" w:hAnsi="宋体" w:eastAsia="宋体" w:cs="宋体"/>
          <w:spacing w:val="12"/>
          <w:sz w:val="24"/>
          <w:szCs w:val="24"/>
          <w:lang w:val="en-US" w:eastAsia="zh-CN"/>
        </w:rPr>
        <w:t>建筑阀门</w:t>
      </w:r>
      <w:r>
        <w:rPr>
          <w:rFonts w:hint="default" w:ascii="宋体" w:hAnsi="宋体" w:eastAsia="宋体" w:cs="宋体"/>
          <w:spacing w:val="12"/>
          <w:sz w:val="24"/>
          <w:szCs w:val="24"/>
          <w:lang w:val="en-US" w:eastAsia="zh-CN"/>
        </w:rPr>
        <w:t>的产品特征、评价目的、数据获取情况删除或简化对评价结果不会造成显著影响的生命周期阶段、单元过程、输入或输出，即将系统边界按照不同阶段划分为：原料与能源获取阶段（A）、产品生产阶段（B）、产品销售阶段（C）、安装和使用阶段（D）、生命末期阶段（E）</w:t>
      </w:r>
      <w:r>
        <w:rPr>
          <w:rFonts w:hint="eastAsia" w:ascii="宋体" w:hAnsi="宋体" w:eastAsia="宋体" w:cs="宋体"/>
          <w:spacing w:val="12"/>
          <w:sz w:val="24"/>
          <w:szCs w:val="24"/>
          <w:lang w:val="en-US" w:eastAsia="zh-CN"/>
        </w:rPr>
        <w:t>。</w:t>
      </w:r>
    </w:p>
    <w:p w14:paraId="23E8B370">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对于非终端产品(B2B)，可以采用“摇篮到大门”的系统边界，对于终端产品(B2C)，可以采用“摇篮到坟墓”的系统边界。此外，避免造成各阶段划分的模糊性，文件中将各阶段涉及到的会对环境产生影响的阶段分别罗列，并对部分阶段提出更为详细的要求。</w:t>
      </w:r>
    </w:p>
    <w:p w14:paraId="22F7BB37">
      <w:pPr>
        <w:pStyle w:val="2"/>
        <w:rPr>
          <w:rFonts w:hint="eastAsia"/>
          <w:lang w:eastAsia="zh-CN"/>
        </w:rPr>
      </w:pPr>
    </w:p>
    <w:p w14:paraId="2A38EA06">
      <w:pPr>
        <w:spacing w:before="91" w:line="411" w:lineRule="auto"/>
        <w:ind w:left="27" w:right="239" w:firstLine="555"/>
        <w:rPr>
          <w:highlight w:val="none"/>
        </w:rPr>
      </w:pPr>
      <w:r>
        <w:rPr>
          <w:highlight w:val="none"/>
        </w:rPr>
        <w:drawing>
          <wp:inline distT="0" distB="0" distL="114300" distR="114300">
            <wp:extent cx="5328920" cy="2628900"/>
            <wp:effectExtent l="0" t="0" r="508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5328920" cy="2628900"/>
                    </a:xfrm>
                    <a:prstGeom prst="rect">
                      <a:avLst/>
                    </a:prstGeom>
                    <a:noFill/>
                    <a:ln>
                      <a:noFill/>
                    </a:ln>
                  </pic:spPr>
                </pic:pic>
              </a:graphicData>
            </a:graphic>
          </wp:inline>
        </w:drawing>
      </w:r>
    </w:p>
    <w:p w14:paraId="55A305F1">
      <w:pPr>
        <w:pStyle w:val="11"/>
        <w:jc w:val="center"/>
        <w:rPr>
          <w:rFonts w:hint="eastAsia" w:ascii="宋体" w:hAnsi="宋体" w:eastAsia="宋体" w:cs="宋体"/>
          <w:snapToGrid w:val="0"/>
          <w:color w:val="000000"/>
          <w:spacing w:val="12"/>
          <w:kern w:val="0"/>
          <w:sz w:val="28"/>
          <w:szCs w:val="28"/>
        </w:rPr>
      </w:pPr>
      <w:r>
        <w:rPr>
          <w:rFonts w:hint="eastAsia" w:ascii="宋体" w:hAnsi="宋体" w:eastAsia="宋体" w:cs="宋体"/>
          <w:snapToGrid w:val="0"/>
          <w:color w:val="000000"/>
          <w:spacing w:val="12"/>
          <w:kern w:val="0"/>
          <w:sz w:val="21"/>
          <w:szCs w:val="21"/>
        </w:rPr>
        <w:t xml:space="preserve">图1 </w:t>
      </w:r>
      <w:r>
        <w:rPr>
          <w:rFonts w:hint="eastAsia" w:ascii="宋体" w:hAnsi="宋体" w:eastAsia="宋体" w:cs="宋体"/>
          <w:snapToGrid w:val="0"/>
          <w:color w:val="000000"/>
          <w:spacing w:val="12"/>
          <w:kern w:val="0"/>
          <w:sz w:val="21"/>
          <w:szCs w:val="21"/>
          <w:lang w:eastAsia="zh-CN"/>
        </w:rPr>
        <w:t>建筑阀门</w:t>
      </w:r>
      <w:r>
        <w:rPr>
          <w:rFonts w:hint="eastAsia" w:ascii="宋体" w:hAnsi="宋体" w:eastAsia="宋体" w:cs="宋体"/>
          <w:snapToGrid w:val="0"/>
          <w:color w:val="000000"/>
          <w:spacing w:val="12"/>
          <w:kern w:val="0"/>
          <w:sz w:val="21"/>
          <w:szCs w:val="21"/>
        </w:rPr>
        <w:t>产品碳足迹评价的系统边界图</w:t>
      </w:r>
    </w:p>
    <w:p w14:paraId="0DBC94AE">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2）原料获取阶段（A），从自然界初级资源提取开始，在原料到达建筑阀门制造工厂时终止，包括：</w:t>
      </w:r>
    </w:p>
    <w:p w14:paraId="0BFEC1C7">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a)原料获取（A1）：铸铁、铸钢、不锈钢、铜合金、O型圈、手柄、硅胶圈、塑料、橡胶及其他辅助材料的生产过程；</w:t>
      </w:r>
    </w:p>
    <w:p w14:paraId="1C6302F4">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b)原料运输（A2）：将原料和包装材料从产地运输到建筑阀门制造工厂的过程。</w:t>
      </w:r>
    </w:p>
    <w:p w14:paraId="1E2001E3">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3）产品生产阶段（B），从原料运输至建筑阀门制造工厂，在产品生产完成时终止，包括：</w:t>
      </w:r>
    </w:p>
    <w:p w14:paraId="3C687261">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a)产品制造（B1）：建筑阀门的制造过程，包括预处理、机加工和组装等过程，产品制造使用能源（如柴油、电力、蒸汽、天然气等）的开采、加工或生产、运输、燃烧过程，产品制造产生污染物、固体废物处理过程；</w:t>
      </w:r>
    </w:p>
    <w:p w14:paraId="0B01C154">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b)厂内运输（B2）：原料、能源、产品、固体废物等在工厂内部的运输过程。</w:t>
      </w:r>
    </w:p>
    <w:p w14:paraId="4F58BA14">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4）产品分销阶段（C），从最终产品离开建筑阀门制造工厂开始，到消费者获得产品时终止，包括：</w:t>
      </w:r>
    </w:p>
    <w:p w14:paraId="1F3B1B83">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a)出厂运输（C1）：产品出厂后运输至交付地点；</w:t>
      </w:r>
    </w:p>
    <w:p w14:paraId="2B9697C9">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b)仓储/再包装/销售（C2）：产品中间储存、中转、产品再包装及批发与零售过程。</w:t>
      </w:r>
    </w:p>
    <w:p w14:paraId="2E3D2550">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5）安装和使用阶段（D），从消费者获得产品开始，到产品或产品所在系统废弃后终止，包括：</w:t>
      </w:r>
    </w:p>
    <w:p w14:paraId="060250FE">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a)产品安装（D1）：将产品安装到工程的过程；</w:t>
      </w:r>
    </w:p>
    <w:p w14:paraId="75F84048">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b)产品使用（D2）：已安装产品的使用或应用过程，包含与产品正常（预期）使用相关的环境影响，同时应考虑产品的寿命；</w:t>
      </w:r>
    </w:p>
    <w:p w14:paraId="279BDF09">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c)产品维护/维修（D3）：预防性且定期性的维护活动，例如清洁与计划维修；包含用于维护、维修的构件与辅助产品的生产与运输。</w:t>
      </w:r>
    </w:p>
    <w:p w14:paraId="7CFE41BA">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6）生命末期阶段（E），从产品废弃后拆除开始、运输到回收处理或处置地点，到产品回归到自然或经过处置分配到另一个产品系统终止，可考虑废弃产品再生循环或能量回收带来的碳减排效益，包括：</w:t>
      </w:r>
    </w:p>
    <w:p w14:paraId="09E1B647">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a)拆解/拆除（E1）：建筑阀门产品从工程中拆除或拆解、筛分；</w:t>
      </w:r>
    </w:p>
    <w:p w14:paraId="3BD84EFF">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b)废弃产品运输（E2）：将废弃产品运输到回收利用或处置场地；</w:t>
      </w:r>
    </w:p>
    <w:p w14:paraId="23CA2931">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c)最终处置（E3）：依据相关要求进行废弃产品处置，包括再生循环、焚烧、填埋及相关预处理过程，利用废弃产品进行再生循环、能量回收等过程。</w:t>
      </w:r>
    </w:p>
    <w:p w14:paraId="08809235">
      <w:pPr>
        <w:spacing w:before="91" w:line="411" w:lineRule="auto"/>
        <w:ind w:left="27" w:right="239" w:firstLine="555"/>
        <w:rPr>
          <w:rFonts w:hint="eastAsia" w:ascii="宋体" w:hAnsi="宋体" w:eastAsia="宋体" w:cs="宋体"/>
          <w:spacing w:val="12"/>
          <w:sz w:val="24"/>
          <w:szCs w:val="24"/>
        </w:rPr>
      </w:pPr>
      <w:r>
        <w:rPr>
          <w:rFonts w:hint="eastAsia" w:ascii="宋体" w:hAnsi="宋体" w:eastAsia="宋体" w:cs="宋体"/>
          <w:spacing w:val="12"/>
          <w:sz w:val="24"/>
          <w:szCs w:val="24"/>
          <w:lang w:val="en-US" w:eastAsia="zh-CN"/>
        </w:rPr>
        <w:t>2.2.</w:t>
      </w:r>
      <w:r>
        <w:rPr>
          <w:rFonts w:hint="eastAsia" w:ascii="宋体" w:hAnsi="宋体" w:eastAsia="宋体" w:cs="宋体"/>
          <w:spacing w:val="12"/>
          <w:sz w:val="24"/>
          <w:szCs w:val="24"/>
        </w:rPr>
        <w:t>5.3.功能单位</w:t>
      </w:r>
    </w:p>
    <w:p w14:paraId="0262B982">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当系统边界为“A-E”时，应使用功能单位。阀门产品的碳足迹量化，关键在于选对功能单位，让不同阀门的碳排放量有了可比性。根据国家标准GB/T 24067-2024，阀门产品功能单位通常应涵盖以下信息：</w:t>
      </w:r>
    </w:p>
    <w:p w14:paraId="193A85D3">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 单位数量产品的计量，建筑阀门为生产1kg建筑阀门产品；</w:t>
      </w:r>
    </w:p>
    <w:p w14:paraId="60E6F401">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 预期用途；</w:t>
      </w:r>
    </w:p>
    <w:p w14:paraId="08119E0E">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 主要性能指标或规格参数（如DN值、PN值、材质、结构、连接方式等）；</w:t>
      </w:r>
    </w:p>
    <w:p w14:paraId="09FAFD7F">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 参考使用寿命。</w:t>
      </w:r>
    </w:p>
    <w:p w14:paraId="69FEA68C">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示例1：球墨铸铁螺纹连接球阀（DN50，PN16）。</w:t>
      </w:r>
    </w:p>
    <w:p w14:paraId="38133D6F">
      <w:pPr>
        <w:spacing w:before="91" w:line="411" w:lineRule="auto"/>
        <w:ind w:left="27" w:right="239" w:firstLine="555"/>
        <w:rPr>
          <w:rFonts w:hint="eastAsia" w:ascii="宋体" w:hAnsi="宋体" w:eastAsia="宋体" w:cs="宋体"/>
          <w:spacing w:val="12"/>
          <w:sz w:val="24"/>
          <w:szCs w:val="24"/>
        </w:rPr>
      </w:pPr>
      <w:r>
        <w:rPr>
          <w:rFonts w:hint="eastAsia" w:ascii="宋体" w:hAnsi="宋体" w:eastAsia="宋体" w:cs="宋体"/>
          <w:spacing w:val="12"/>
          <w:sz w:val="24"/>
          <w:szCs w:val="24"/>
          <w:lang w:val="en-US" w:eastAsia="zh-CN"/>
        </w:rPr>
        <w:t>2</w:t>
      </w:r>
      <w:r>
        <w:rPr>
          <w:rFonts w:hint="eastAsia" w:ascii="宋体" w:hAnsi="宋体" w:eastAsia="宋体" w:cs="宋体"/>
          <w:spacing w:val="12"/>
          <w:sz w:val="24"/>
          <w:szCs w:val="24"/>
          <w:highlight w:val="none"/>
          <w:lang w:val="en-US" w:eastAsia="zh-CN"/>
        </w:rPr>
        <w:t>.2.</w:t>
      </w:r>
      <w:r>
        <w:rPr>
          <w:rFonts w:hint="eastAsia" w:ascii="宋体" w:hAnsi="宋体" w:eastAsia="宋体" w:cs="宋体"/>
          <w:spacing w:val="12"/>
          <w:sz w:val="24"/>
          <w:szCs w:val="24"/>
          <w:highlight w:val="none"/>
        </w:rPr>
        <w:t>5.4.声明单位</w:t>
      </w:r>
    </w:p>
    <w:p w14:paraId="38658F8D">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当系统边界为“A-B”时，可使用声明单位。声明单位作为量化基准的作用，用于量化产品整个生命周期内的碳足迹，应涵盖以下信息：</w:t>
      </w:r>
    </w:p>
    <w:p w14:paraId="67CB1481">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 单位数量产品的计量，建筑阀门为生产1kg建筑阀门产品；</w:t>
      </w:r>
    </w:p>
    <w:p w14:paraId="2FBADC85">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 主要性能指标或规格参数（如DN值、PN值、材质、结构、连接方式等）。</w:t>
      </w:r>
    </w:p>
    <w:p w14:paraId="4FFE0606">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示例1：铜球阀（DN50，PN16）。</w:t>
      </w:r>
    </w:p>
    <w:p w14:paraId="12F92CC0">
      <w:pPr>
        <w:spacing w:before="91" w:line="411" w:lineRule="auto"/>
        <w:ind w:left="27" w:right="239" w:firstLine="555"/>
        <w:rPr>
          <w:rFonts w:hint="eastAsia" w:ascii="宋体" w:hAnsi="宋体" w:eastAsia="宋体" w:cs="宋体"/>
          <w:spacing w:val="12"/>
          <w:sz w:val="24"/>
          <w:szCs w:val="24"/>
        </w:rPr>
      </w:pPr>
      <w:r>
        <w:rPr>
          <w:rFonts w:hint="eastAsia" w:ascii="宋体" w:hAnsi="宋体" w:eastAsia="宋体" w:cs="宋体"/>
          <w:spacing w:val="12"/>
          <w:sz w:val="24"/>
          <w:szCs w:val="24"/>
          <w:lang w:val="en-US" w:eastAsia="zh-CN"/>
        </w:rPr>
        <w:t>2.2.</w:t>
      </w:r>
      <w:r>
        <w:rPr>
          <w:rFonts w:hint="eastAsia" w:ascii="宋体" w:hAnsi="宋体" w:eastAsia="宋体" w:cs="宋体"/>
          <w:spacing w:val="12"/>
          <w:sz w:val="24"/>
          <w:szCs w:val="24"/>
        </w:rPr>
        <w:t>5.5.取舍准则</w:t>
      </w:r>
    </w:p>
    <w:p w14:paraId="27EFD0A9">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反复性是LCA的固有特性，必须根据由敏感性分析所判定的数据重要性来决定数据的取舍。初始产品系统边界必须依据确定范围时规定的边界准则进行适当的修改。</w:t>
      </w:r>
    </w:p>
    <w:p w14:paraId="008F940D">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因此，本文件规定，依据本文件编制相应产品生命周期评价技术规范，应对输入输出的取舍准则作出规定。同时，输入输出的取舍准则应在产品生命周期评价报告中明确说明。除此之外，产品生命周期评价报告中所涉及的物质（能量）数据的取舍应遵循如下准则：</w:t>
      </w:r>
    </w:p>
    <w:p w14:paraId="043ADD64">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1)所有的能源输入均需列出，包括使用的含能废弃物；</w:t>
      </w:r>
    </w:p>
    <w:p w14:paraId="60897C7B">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2)应列出主要的原料及辅料输入，若符合c）和d）要求则可忽略；</w:t>
      </w:r>
    </w:p>
    <w:p w14:paraId="42368285">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3)忽略的单项物质（能量）流或单元过程对产品碳足迹的贡献均不得超过1%，如生产设备维修耗材等；</w:t>
      </w:r>
    </w:p>
    <w:p w14:paraId="3BF9FAE9">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4)所有忽略的物质（能量）流与单元过程对产品碳足迹贡献总和不超过5%，且应在产品碳足迹报告中予以说明。</w:t>
      </w:r>
    </w:p>
    <w:p w14:paraId="760D04EA">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5)所有忽略的物质（能量）流与单元过程对产品碳足迹贡献总和不超过5%，且应在产品碳足迹报告中予以说明。</w:t>
      </w:r>
    </w:p>
    <w:p w14:paraId="06A7EF6D">
      <w:pPr>
        <w:spacing w:before="91" w:line="411" w:lineRule="auto"/>
        <w:ind w:right="239"/>
        <w:rPr>
          <w:rFonts w:hint="eastAsia" w:ascii="Times New Roman" w:hAnsi="Times New Roman" w:eastAsia="宋体" w:cs="Times New Roman"/>
          <w:b/>
          <w:bCs/>
          <w:spacing w:val="10"/>
          <w:sz w:val="31"/>
          <w:szCs w:val="31"/>
          <w:lang w:val="en-US" w:eastAsia="zh-CN"/>
        </w:rPr>
      </w:pPr>
      <w:r>
        <w:rPr>
          <w:rFonts w:hint="eastAsia" w:ascii="Times New Roman" w:hAnsi="Times New Roman" w:eastAsia="宋体" w:cs="Times New Roman"/>
          <w:b/>
          <w:bCs/>
          <w:spacing w:val="10"/>
          <w:sz w:val="31"/>
          <w:szCs w:val="31"/>
          <w:lang w:val="en-US" w:eastAsia="zh-CN"/>
        </w:rPr>
        <w:t>2.2.6.清单分析</w:t>
      </w:r>
    </w:p>
    <w:p w14:paraId="64F520FE">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生命周期清单分析是生命周期评价中对所研究产品系统整个生命周期中输入和输出进行汇编和量化的阶段，即收集产品系统中定量或定性的输入输出数据，计算并量化的过程。后面介绍的环境影响评价阶段就是建立在清单分析的数据结果基础上的。另外，LCA实践者也可以直接从生命周期清单分析中得到评估结论，并做出解释。</w:t>
      </w:r>
    </w:p>
    <w:p w14:paraId="6F0843C5">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清单分析的目的是对产品系统的有关输入和输出进行量化。输入和输出可包括与该系统有关的对资源的使用，以及向空气、水体和土地的排放。可根据预先确定的LCA目的和范围需要，依据上述数据做出解释。同时这些数据还是进行生命周期影响评价输入的组成部分。</w:t>
      </w:r>
    </w:p>
    <w:p w14:paraId="52E7F7B4">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进行清单分析也是一个反复的过程。当取得了一批数据，并对系统有进一步的认识后，可能会出现新的数据要求，或发现原有的局限性，因而要求对数据收集程序作出修改，以适应研究目的，有时也会要求对研究目的或范围加以修改。</w:t>
      </w:r>
    </w:p>
    <w:p w14:paraId="03C3934C">
      <w:pPr>
        <w:spacing w:before="91" w:line="411" w:lineRule="auto"/>
        <w:ind w:left="27" w:right="239" w:firstLine="555"/>
        <w:rPr>
          <w:rFonts w:hint="eastAsia" w:ascii="宋体" w:hAnsi="宋体" w:eastAsia="宋体" w:cs="宋体"/>
          <w:spacing w:val="12"/>
          <w:sz w:val="24"/>
          <w:szCs w:val="24"/>
        </w:rPr>
      </w:pPr>
      <w:r>
        <w:rPr>
          <w:rFonts w:hint="eastAsia" w:ascii="宋体" w:hAnsi="宋体" w:eastAsia="宋体" w:cs="宋体"/>
          <w:spacing w:val="12"/>
          <w:sz w:val="24"/>
          <w:szCs w:val="24"/>
          <w:lang w:val="en-US" w:eastAsia="zh-CN"/>
        </w:rPr>
        <w:t>2.2.</w:t>
      </w:r>
      <w:r>
        <w:rPr>
          <w:rFonts w:hint="eastAsia" w:ascii="宋体" w:hAnsi="宋体" w:eastAsia="宋体" w:cs="宋体"/>
          <w:spacing w:val="12"/>
          <w:sz w:val="24"/>
          <w:szCs w:val="24"/>
        </w:rPr>
        <w:t>6.1.数据的收集和确认</w:t>
      </w:r>
    </w:p>
    <w:p w14:paraId="6D20F843">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本文件规定根据产品生命周期评价的目的，应收集包含系统边界中每一个单元过程的定性和定量数据。数据包括现场数据和次级数据；对数据的获得方式和来源均应予以说明。在采集过程中，应对缺失的数据进行合理填补，并说明数据填补方法。</w:t>
      </w:r>
    </w:p>
    <w:p w14:paraId="416000EB">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为了增加标准的实用性和适用性，文件中对原料与能源获取阶段（A）、产品生产阶段（B）、产品销售阶段（C）、安装和使用阶段（D）、生命末期阶段（</w:t>
      </w:r>
      <w:r>
        <w:rPr>
          <w:rFonts w:hint="eastAsia" w:ascii="宋体" w:hAnsi="宋体" w:eastAsia="宋体" w:cs="宋体"/>
          <w:spacing w:val="12"/>
          <w:sz w:val="24"/>
          <w:szCs w:val="24"/>
          <w:lang w:val="en-US" w:eastAsia="zh-CN"/>
        </w:rPr>
        <w:t>E</w:t>
      </w:r>
      <w:r>
        <w:rPr>
          <w:rFonts w:hint="default" w:ascii="宋体" w:hAnsi="宋体" w:eastAsia="宋体" w:cs="宋体"/>
          <w:spacing w:val="12"/>
          <w:sz w:val="24"/>
          <w:szCs w:val="24"/>
          <w:lang w:val="en-US" w:eastAsia="zh-CN"/>
        </w:rPr>
        <w:t>）中需要获取的数据项目分析进行罗列，同时规定了哪些数据应该优先采用初级数据，哪些数据可采用次级数据。</w:t>
      </w:r>
    </w:p>
    <w:p w14:paraId="0ADE8EB9">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2.2.6.2.数据质量要求</w:t>
      </w:r>
    </w:p>
    <w:p w14:paraId="7CB7992A">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数据质量要求是LCA评估可信度的保障。这里的数据是指在LCA评估中用到的所有定性和定量的数值或信息，这些数据可能来自测量到的环境清单数据，也可以是中间的处理结果。数据质量要求规定研究中所需数据的总体特征，这些要求须保证LCA研究的目的与范围得到满足，数据质量要求应考虑数据的时间跨度、地域广度、技术覆盖面、准确性、覆盖率、代表性、一致性及可再现性等。</w:t>
      </w:r>
    </w:p>
    <w:p w14:paraId="231DD3C6">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因此，本文件规定企业现场数据的数据质量应满足下列要求：</w:t>
      </w:r>
    </w:p>
    <w:p w14:paraId="50565650">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1）初级数据</w:t>
      </w:r>
    </w:p>
    <w:p w14:paraId="2DE1B487">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初级活动水平数据应详细记录相关原始数据、数据来源与计算过程，可按附录A中表A.1格式采集，应满足以下数据质量要求，</w:t>
      </w:r>
    </w:p>
    <w:p w14:paraId="3D1E4637">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a)完整性。初级活动水平数据宜采集企业一个自然年内的生产统计数据，应根据取舍准则检查是否有缺失的过程、消耗和排放；</w:t>
      </w:r>
    </w:p>
    <w:p w14:paraId="6C6CD467">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b)准确性。初级活动水平数据中的能源、原材料消耗数据应来自企业的实际生产统计记录；环境排放数据优先选择相关的在线监测系统数据（CO2应选择企业碳核查数据）、环境监测报告，或由排污因子或物料平衡公式计算获得。</w:t>
      </w:r>
    </w:p>
    <w:p w14:paraId="1BC2214D">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c)一致性。初级活动水平数据采集时同类数据应保持相同的数据来源、统计口径、处理规则等。</w:t>
      </w:r>
    </w:p>
    <w:p w14:paraId="59DD63D8">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2）次级数据</w:t>
      </w:r>
    </w:p>
    <w:p w14:paraId="5143A426">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次级数据包括通过上下游供应商、商业数据库、统计数据或文献研究等途径获取的支撑产品碳足迹核算的数据，可按附录B中表B.1格式采集。采集的次级数据应满足以下数据质量要求：</w:t>
      </w:r>
    </w:p>
    <w:p w14:paraId="77AF22A9">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a)代表性。优先选择原材料供应商提供的数据，其次选择相近年份代表国内及行业平均水平的公开生命周期数据，再次选择代表国外同类技术水平的生命周期数据；</w:t>
      </w:r>
    </w:p>
    <w:p w14:paraId="4C411619">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b)完整性。碳足迹研究应收集完整的次级数据，应包含系统边界内的所有与温室气体排放相关的生命周期清单项目；</w:t>
      </w:r>
    </w:p>
    <w:p w14:paraId="6E945C5E">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c)一致性。同一机构对同类产品次级数据的选择应保持一致，如果次级数据更新，则产品碳足迹报告也应更新。</w:t>
      </w:r>
    </w:p>
    <w:p w14:paraId="6A0B8D5B">
      <w:pPr>
        <w:spacing w:before="91" w:line="411" w:lineRule="auto"/>
        <w:ind w:left="27" w:right="239" w:firstLine="555"/>
        <w:rPr>
          <w:rFonts w:hint="eastAsia" w:ascii="宋体" w:hAnsi="宋体" w:eastAsia="宋体" w:cs="宋体"/>
          <w:spacing w:val="12"/>
          <w:sz w:val="24"/>
          <w:szCs w:val="24"/>
        </w:rPr>
      </w:pPr>
      <w:r>
        <w:rPr>
          <w:rFonts w:hint="eastAsia" w:ascii="宋体" w:hAnsi="宋体" w:eastAsia="宋体" w:cs="宋体"/>
          <w:spacing w:val="12"/>
          <w:sz w:val="24"/>
          <w:szCs w:val="24"/>
          <w:lang w:val="en-US" w:eastAsia="zh-CN"/>
        </w:rPr>
        <w:t>2.2.</w:t>
      </w:r>
      <w:r>
        <w:rPr>
          <w:rFonts w:hint="eastAsia" w:ascii="宋体" w:hAnsi="宋体" w:eastAsia="宋体" w:cs="宋体"/>
          <w:spacing w:val="12"/>
          <w:sz w:val="24"/>
          <w:szCs w:val="24"/>
        </w:rPr>
        <w:t>6.3.数据审定</w:t>
      </w:r>
    </w:p>
    <w:p w14:paraId="2114E9A9">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数据验证：通过实施物料平衡和能量平衡的计算方法，确保数据的内部一致性和逻辑合理性。数据对比：将采集到的数据与历史数据以及类似工艺条件下的行业数据进行比较，以验证其合理性。异常数据处理：对于在验证过程中发现的异常数据，必须进行深入分析，找出原因，并根据5.</w:t>
      </w:r>
      <w:r>
        <w:rPr>
          <w:rFonts w:hint="eastAsia" w:ascii="宋体" w:hAnsi="宋体" w:eastAsia="宋体" w:cs="宋体"/>
          <w:spacing w:val="12"/>
          <w:sz w:val="24"/>
          <w:szCs w:val="24"/>
          <w:lang w:val="en-US" w:eastAsia="zh-CN"/>
        </w:rPr>
        <w:t>2</w:t>
      </w:r>
      <w:r>
        <w:rPr>
          <w:rFonts w:hint="default" w:ascii="宋体" w:hAnsi="宋体" w:eastAsia="宋体" w:cs="宋体"/>
          <w:spacing w:val="12"/>
          <w:sz w:val="24"/>
          <w:szCs w:val="24"/>
          <w:lang w:val="en-US" w:eastAsia="zh-CN"/>
        </w:rPr>
        <w:t>节中规定数据质量要求进行必要的数据替换或调整。数据质量保证：替换或调整后的数据必须满足本标准第5.</w:t>
      </w:r>
      <w:r>
        <w:rPr>
          <w:rFonts w:hint="eastAsia" w:ascii="宋体" w:hAnsi="宋体" w:eastAsia="宋体" w:cs="宋体"/>
          <w:spacing w:val="12"/>
          <w:sz w:val="24"/>
          <w:szCs w:val="24"/>
          <w:lang w:val="en-US" w:eastAsia="zh-CN"/>
        </w:rPr>
        <w:t>2</w:t>
      </w:r>
      <w:r>
        <w:rPr>
          <w:rFonts w:hint="default" w:ascii="宋体" w:hAnsi="宋体" w:eastAsia="宋体" w:cs="宋体"/>
          <w:spacing w:val="12"/>
          <w:sz w:val="24"/>
          <w:szCs w:val="24"/>
          <w:lang w:val="en-US" w:eastAsia="zh-CN"/>
        </w:rPr>
        <w:t>条所规定的数据质量标准，包括但不限于准确性、可靠性和代表性。</w:t>
      </w:r>
    </w:p>
    <w:p w14:paraId="26C715C2">
      <w:pPr>
        <w:spacing w:before="91" w:line="411" w:lineRule="auto"/>
        <w:ind w:left="27" w:right="239" w:firstLine="555"/>
        <w:rPr>
          <w:rFonts w:hint="eastAsia" w:ascii="宋体" w:hAnsi="宋体" w:eastAsia="宋体" w:cs="宋体"/>
          <w:spacing w:val="12"/>
          <w:sz w:val="24"/>
          <w:szCs w:val="24"/>
        </w:rPr>
      </w:pPr>
      <w:r>
        <w:rPr>
          <w:rFonts w:hint="eastAsia" w:ascii="宋体" w:hAnsi="宋体" w:eastAsia="宋体" w:cs="宋体"/>
          <w:spacing w:val="12"/>
          <w:sz w:val="24"/>
          <w:szCs w:val="24"/>
          <w:lang w:val="en-US" w:eastAsia="zh-CN"/>
        </w:rPr>
        <w:t>2.2.</w:t>
      </w:r>
      <w:r>
        <w:rPr>
          <w:rFonts w:hint="eastAsia" w:ascii="宋体" w:hAnsi="宋体" w:eastAsia="宋体" w:cs="宋体"/>
          <w:spacing w:val="12"/>
          <w:sz w:val="24"/>
          <w:szCs w:val="24"/>
        </w:rPr>
        <w:t>6.4.分配</w:t>
      </w:r>
    </w:p>
    <w:p w14:paraId="70926623">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生命周期清单分析有赖于将产品系统中的单元过程以简单的物流或能量流相联系。实际上，只产出单一产品、或者其原材料输入与输出仅体现为一种线性关系的工业过程极为少见。大部分工业过程都是产出多种产品，并将中间产品和弃置的产品通过再循环用作原材料。当环境负荷要用其中一种或部分产品来表征时，就产生了输入输出数据如何在多个产品或多个系统之间分配的问题。将过程或产品系统中的输入和输出流划分到所研究的产品系统以及一个或更多的其他产品系统中，GB/T 24040《环境管理 生命周期评价 原则与框架》将其定义为分配（allocation）。</w:t>
      </w:r>
    </w:p>
    <w:p w14:paraId="1D5B4716">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因此，本文件规定了应依据GB/T24044-2008中4.3.4的要求将物流、能量流和环境排放分配到各个产品。在评价过程中涉及的共生产品清单分配方法应在产品生命周期评价报告中予以明确说明。</w:t>
      </w:r>
      <w:r>
        <w:rPr>
          <w:rFonts w:hint="eastAsia" w:ascii="宋体" w:hAnsi="宋体" w:eastAsia="宋体" w:cs="宋体"/>
          <w:spacing w:val="12"/>
          <w:sz w:val="24"/>
          <w:szCs w:val="24"/>
          <w:lang w:val="en-US" w:eastAsia="zh-CN"/>
        </w:rPr>
        <w:t>建筑阀门</w:t>
      </w:r>
      <w:r>
        <w:rPr>
          <w:rFonts w:hint="default" w:ascii="宋体" w:hAnsi="宋体" w:eastAsia="宋体" w:cs="宋体"/>
          <w:spacing w:val="12"/>
          <w:sz w:val="24"/>
          <w:szCs w:val="24"/>
          <w:lang w:val="en-US" w:eastAsia="zh-CN"/>
        </w:rPr>
        <w:t>产品分配程序宜优先采用质量分配法，若质量分配法不可行，则可采用经济价值分配法。对于闭环里循环使用的共生产品，不需要分配。</w:t>
      </w:r>
    </w:p>
    <w:p w14:paraId="4AC57B67">
      <w:pPr>
        <w:spacing w:before="91" w:line="411" w:lineRule="auto"/>
        <w:ind w:right="239"/>
        <w:rPr>
          <w:rFonts w:hint="eastAsia" w:ascii="Times New Roman" w:hAnsi="Times New Roman" w:eastAsia="宋体" w:cs="Times New Roman"/>
          <w:b/>
          <w:bCs/>
          <w:spacing w:val="10"/>
          <w:sz w:val="31"/>
          <w:szCs w:val="31"/>
          <w:lang w:val="en-US" w:eastAsia="zh-CN"/>
        </w:rPr>
      </w:pPr>
      <w:r>
        <w:rPr>
          <w:rFonts w:hint="eastAsia" w:ascii="Times New Roman" w:hAnsi="Times New Roman" w:eastAsia="宋体" w:cs="Times New Roman"/>
          <w:b/>
          <w:bCs/>
          <w:spacing w:val="10"/>
          <w:sz w:val="31"/>
          <w:szCs w:val="31"/>
          <w:lang w:val="en-US" w:eastAsia="zh-CN"/>
        </w:rPr>
        <w:t>2.2.7  影响评价</w:t>
      </w:r>
    </w:p>
    <w:p w14:paraId="60D320F0">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碳足迹影响评价是生命周期评价的第三个阶段，是其中理解和评价产品系统潜在环境影响的大小和重要性的阶段。其目的是评估产品系统的生命周期清单结果，将生命周期清单分析结果转化为全球变暖方面的潜在环境影响，以更能了解该产品系统影响程度。碳足迹影响评价阶段将所选择的环境问题（称之为影响类型）模型化，并使用类型参数来精简与解释生命周期清单结果。类型参数用于表示每项影响类型的总污染排放或资源消耗量。这些类型参数代表潜在的环境影响。</w:t>
      </w:r>
    </w:p>
    <w:p w14:paraId="23187A18">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碳足迹影响评价作为整体生命周期评价的一部分，可用于：识别产品系统的改善机会并协助排定其优先顺序；描述产品系统与其单元过程在某一时间段内的特征或制定其比较基准；依据所选定的类型参数，进行产品系统间的相关比较；通过其他技术来提供对决策者有用的辅助性环境数据与信息。</w:t>
      </w:r>
    </w:p>
    <w:p w14:paraId="21C2C3F8">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本文件为了增强实用性，给出各阶段计算碳足迹的方法。</w:t>
      </w:r>
    </w:p>
    <w:p w14:paraId="592A47DD">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除本文件中要求的碳排放相关指标外，附加环境信息应在相应产品碳足迹报告中予以罗列和描述。附加环境信息包括但不限于</w:t>
      </w:r>
      <w:r>
        <w:rPr>
          <w:rFonts w:hint="eastAsia" w:ascii="宋体" w:hAnsi="宋体" w:eastAsia="宋体" w:cs="宋体"/>
          <w:spacing w:val="12"/>
          <w:sz w:val="24"/>
          <w:szCs w:val="24"/>
          <w:lang w:val="en-US" w:eastAsia="zh-CN"/>
        </w:rPr>
        <w:t>建筑阀门</w:t>
      </w:r>
      <w:r>
        <w:rPr>
          <w:rFonts w:hint="default" w:ascii="宋体" w:hAnsi="宋体" w:eastAsia="宋体" w:cs="宋体"/>
          <w:spacing w:val="12"/>
          <w:sz w:val="24"/>
          <w:szCs w:val="24"/>
          <w:lang w:val="en-US" w:eastAsia="zh-CN"/>
        </w:rPr>
        <w:t>产品在使用过程中对碳足迹造成较大影响的性能指标</w:t>
      </w:r>
      <w:r>
        <w:rPr>
          <w:rFonts w:hint="eastAsia" w:ascii="宋体" w:hAnsi="宋体" w:eastAsia="宋体" w:cs="宋体"/>
          <w:spacing w:val="12"/>
          <w:sz w:val="24"/>
          <w:szCs w:val="24"/>
          <w:lang w:val="en-US" w:eastAsia="zh-CN"/>
        </w:rPr>
        <w:t>。</w:t>
      </w:r>
    </w:p>
    <w:p w14:paraId="26720682">
      <w:pPr>
        <w:spacing w:before="91" w:line="411" w:lineRule="auto"/>
        <w:ind w:right="239"/>
        <w:rPr>
          <w:rFonts w:hint="eastAsia" w:ascii="Times New Roman" w:hAnsi="Times New Roman" w:eastAsia="宋体" w:cs="Times New Roman"/>
          <w:b/>
          <w:bCs/>
          <w:spacing w:val="10"/>
          <w:sz w:val="31"/>
          <w:szCs w:val="31"/>
          <w:lang w:val="en-US" w:eastAsia="zh-CN"/>
        </w:rPr>
      </w:pPr>
      <w:r>
        <w:rPr>
          <w:rFonts w:hint="eastAsia" w:ascii="Times New Roman" w:hAnsi="Times New Roman" w:eastAsia="宋体" w:cs="Times New Roman"/>
          <w:b/>
          <w:bCs/>
          <w:spacing w:val="10"/>
          <w:sz w:val="31"/>
          <w:szCs w:val="31"/>
          <w:lang w:val="en-US" w:eastAsia="zh-CN"/>
        </w:rPr>
        <w:t>2.2.8  结果解释</w:t>
      </w:r>
    </w:p>
    <w:p w14:paraId="1940BC77">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本章为生命周期评价解释阶段，是生命周期评价中根据规定的目的和范围的要求对清单分析和（或）影响评价的结果进行归纳以形成结论和建议的阶段。包括产品生命周期模型的稳健性评价、特点问题识别与改进方案确定以及结论、建议和限制。</w:t>
      </w:r>
    </w:p>
    <w:p w14:paraId="5B73057B">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产品生命周期模型的稳健性评价用于评价系统边界、数据来源、分配选择和生命周期影响类型等方法选择对结果的影响程度。宜用于评价</w:t>
      </w:r>
      <w:r>
        <w:rPr>
          <w:rFonts w:hint="eastAsia" w:ascii="宋体" w:hAnsi="宋体" w:eastAsia="宋体" w:cs="宋体"/>
          <w:spacing w:val="12"/>
          <w:sz w:val="24"/>
          <w:szCs w:val="24"/>
          <w:lang w:val="en-US" w:eastAsia="zh-CN"/>
        </w:rPr>
        <w:t>建筑阀门</w:t>
      </w:r>
      <w:r>
        <w:rPr>
          <w:rFonts w:hint="default" w:ascii="宋体" w:hAnsi="宋体" w:eastAsia="宋体" w:cs="宋体"/>
          <w:spacing w:val="12"/>
          <w:sz w:val="24"/>
          <w:szCs w:val="24"/>
          <w:lang w:val="en-US" w:eastAsia="zh-CN"/>
        </w:rPr>
        <w:t>产品生命周期模型稳健性的工具包括、完整性检查、敏感性检查和一致性检查。</w:t>
      </w:r>
    </w:p>
    <w:p w14:paraId="558E1730">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特点问题识别与改进方案确定是为了产生环境效益或至少将环境责任降至最低，根据清单分析和影响评价阶段的信息提出一系列与产品相关的绿色设计改进方案。</w:t>
      </w:r>
    </w:p>
    <w:p w14:paraId="412E48E3">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结论、建议和限制则是根据确定的产品生命周期评价的目的和范围阐述结论、建议和限制。结论宜包括评价结果、热点问题摘要和方案</w:t>
      </w:r>
      <w:r>
        <w:rPr>
          <w:rFonts w:hint="eastAsia" w:ascii="宋体" w:hAnsi="宋体" w:eastAsia="宋体" w:cs="宋体"/>
          <w:spacing w:val="12"/>
          <w:sz w:val="24"/>
          <w:szCs w:val="24"/>
          <w:lang w:val="en-US" w:eastAsia="zh-CN"/>
        </w:rPr>
        <w:t>。</w:t>
      </w:r>
    </w:p>
    <w:p w14:paraId="0D757129">
      <w:pPr>
        <w:spacing w:before="91" w:line="411" w:lineRule="auto"/>
        <w:ind w:right="239"/>
        <w:rPr>
          <w:rFonts w:hint="eastAsia" w:ascii="Times New Roman" w:hAnsi="Times New Roman" w:eastAsia="宋体" w:cs="Times New Roman"/>
          <w:b/>
          <w:bCs/>
          <w:spacing w:val="10"/>
          <w:sz w:val="31"/>
          <w:szCs w:val="31"/>
          <w:lang w:val="en-US" w:eastAsia="zh-CN"/>
        </w:rPr>
      </w:pPr>
      <w:r>
        <w:rPr>
          <w:rFonts w:hint="eastAsia" w:ascii="Times New Roman" w:hAnsi="Times New Roman" w:eastAsia="宋体" w:cs="Times New Roman"/>
          <w:b/>
          <w:bCs/>
          <w:spacing w:val="10"/>
          <w:sz w:val="31"/>
          <w:szCs w:val="31"/>
          <w:lang w:val="en-US" w:eastAsia="zh-CN"/>
        </w:rPr>
        <w:t>2.2.9 鉴定性评审</w:t>
      </w:r>
    </w:p>
    <w:p w14:paraId="63ED2781">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鉴定性评审是</w:t>
      </w:r>
      <w:r>
        <w:rPr>
          <w:rFonts w:hint="default" w:ascii="宋体" w:hAnsi="宋体" w:eastAsia="宋体" w:cs="宋体"/>
          <w:spacing w:val="12"/>
          <w:sz w:val="24"/>
          <w:szCs w:val="24"/>
          <w:lang w:val="en-US" w:eastAsia="zh-CN"/>
        </w:rPr>
        <w:t>确保量化结果真实可信的关键环节。通过鉴定性评审，阀门产品的碳足迹量化结果将更具权威性和可信度，为企业绿色转型和国际竞争提供有力支持。</w:t>
      </w:r>
    </w:p>
    <w:p w14:paraId="645412D7">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如果开展产品碳足迹研究的鉴定性评审，应按照ISO 14071规定进行，有利于理解产品碳足迹报告，并提高结果的可信度。</w:t>
      </w:r>
    </w:p>
    <w:p w14:paraId="7BC09E9E">
      <w:pPr>
        <w:spacing w:before="91" w:line="411" w:lineRule="auto"/>
        <w:ind w:right="239"/>
        <w:rPr>
          <w:rFonts w:hint="eastAsia" w:ascii="Times New Roman" w:hAnsi="Times New Roman" w:eastAsia="宋体" w:cs="Times New Roman"/>
          <w:b/>
          <w:bCs/>
          <w:spacing w:val="10"/>
          <w:sz w:val="31"/>
          <w:szCs w:val="31"/>
          <w:lang w:val="en-US" w:eastAsia="zh-CN"/>
        </w:rPr>
      </w:pPr>
      <w:r>
        <w:rPr>
          <w:rFonts w:hint="eastAsia" w:ascii="Times New Roman" w:hAnsi="Times New Roman" w:eastAsia="宋体" w:cs="Times New Roman"/>
          <w:b/>
          <w:bCs/>
          <w:spacing w:val="10"/>
          <w:sz w:val="31"/>
          <w:szCs w:val="31"/>
          <w:lang w:val="en-US" w:eastAsia="zh-CN"/>
        </w:rPr>
        <w:t>2.2.10 可比性</w:t>
      </w:r>
    </w:p>
    <w:p w14:paraId="39FAACF1">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rPr>
      </w:pPr>
      <w:r>
        <w:rPr>
          <w:rFonts w:hint="default" w:ascii="宋体" w:hAnsi="宋体" w:eastAsia="宋体" w:cs="宋体"/>
          <w:spacing w:val="12"/>
          <w:sz w:val="24"/>
          <w:szCs w:val="24"/>
          <w:lang w:val="en-US" w:eastAsia="zh-CN"/>
        </w:rPr>
        <w:t>产品碳足迹可以是经由第三方验证的、科学的、可比的、国际认可的产品整个生命周期的环境影响的气候变化信息披露。其可比必须要基于一定前提下，因此本文件对可比性做出了要求。首先，比较的产品必须在功能、技术性能和用途上保持一致；其次，它们的功能单位和系统边界的选取应当是相同的，以确保评估的范围和基准一致；再者，数据的收集和确认过程也必须是等效的，这包括数据的详细描述、取舍准则以及数据质量要求的一致性；最后，产品碳足迹的量化方法需要统一，包括数据的审定、分配和对产品碳足迹影响的评价方法。只有当这些条件得到满足时，不同产品或同类产品在不同时间点的碳足迹数据才具有可比性，从而可以进行公正和准确的环境影响评估</w:t>
      </w:r>
      <w:r>
        <w:rPr>
          <w:rFonts w:hint="eastAsia" w:ascii="宋体" w:hAnsi="宋体" w:eastAsia="宋体" w:cs="宋体"/>
          <w:spacing w:val="12"/>
          <w:sz w:val="24"/>
          <w:szCs w:val="24"/>
        </w:rPr>
        <w:t>。</w:t>
      </w:r>
    </w:p>
    <w:p w14:paraId="623C9230">
      <w:pPr>
        <w:spacing w:before="91" w:line="411" w:lineRule="auto"/>
        <w:ind w:right="239"/>
        <w:rPr>
          <w:rFonts w:hint="eastAsia" w:ascii="Times New Roman" w:hAnsi="Times New Roman" w:eastAsia="宋体" w:cs="Times New Roman"/>
          <w:b/>
          <w:bCs/>
          <w:spacing w:val="10"/>
          <w:sz w:val="31"/>
          <w:szCs w:val="31"/>
          <w:lang w:val="en-US" w:eastAsia="zh-CN"/>
        </w:rPr>
      </w:pPr>
      <w:r>
        <w:rPr>
          <w:rFonts w:hint="eastAsia" w:ascii="Times New Roman" w:hAnsi="Times New Roman" w:eastAsia="宋体" w:cs="Times New Roman"/>
          <w:b/>
          <w:bCs/>
          <w:spacing w:val="10"/>
          <w:sz w:val="31"/>
          <w:szCs w:val="31"/>
          <w:lang w:val="en-US" w:eastAsia="zh-CN"/>
        </w:rPr>
        <w:t>2.2.11 产品碳足迹绩效追踪</w:t>
      </w:r>
    </w:p>
    <w:p w14:paraId="09FA41C6">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rPr>
      </w:pPr>
      <w:r>
        <w:rPr>
          <w:rFonts w:hint="default" w:ascii="宋体" w:hAnsi="宋体" w:eastAsia="宋体" w:cs="宋体"/>
          <w:spacing w:val="12"/>
          <w:sz w:val="24"/>
          <w:szCs w:val="24"/>
          <w:lang w:val="en-US" w:eastAsia="zh-CN"/>
        </w:rPr>
        <w:t>在持续改进和提高</w:t>
      </w:r>
      <w:r>
        <w:rPr>
          <w:rFonts w:hint="eastAsia" w:ascii="宋体" w:hAnsi="宋体" w:eastAsia="宋体" w:cs="宋体"/>
          <w:spacing w:val="12"/>
          <w:sz w:val="24"/>
          <w:szCs w:val="24"/>
          <w:lang w:val="en-US" w:eastAsia="zh-CN"/>
        </w:rPr>
        <w:t>阀门</w:t>
      </w:r>
      <w:r>
        <w:rPr>
          <w:rFonts w:hint="default" w:ascii="宋体" w:hAnsi="宋体" w:eastAsia="宋体" w:cs="宋体"/>
          <w:spacing w:val="12"/>
          <w:sz w:val="24"/>
          <w:szCs w:val="24"/>
          <w:lang w:val="en-US" w:eastAsia="zh-CN"/>
        </w:rPr>
        <w:t>产品的环境绩效的过程中，组织应当依据本文件的指导，对同一特定产品的碳足迹进行定期和连续的数据统计与分析。通过这种绩效追踪，组织可以监测产品在不同时间周期内对全球变暖潜在影响的变化，进而采取有效措施，不断优化产品设计、生产过程和供应链管理，以减少温室气体排放，提升产品的环境可持续性。这种基于数据的追踪和评估方法，不仅有助于实现组织的碳减排目标，也为消费者提供了更加透明和可靠的产品环境信息</w:t>
      </w:r>
      <w:r>
        <w:rPr>
          <w:rFonts w:hint="eastAsia" w:ascii="宋体" w:hAnsi="宋体" w:eastAsia="宋体" w:cs="宋体"/>
          <w:spacing w:val="12"/>
          <w:sz w:val="24"/>
          <w:szCs w:val="24"/>
        </w:rPr>
        <w:t>。</w:t>
      </w:r>
    </w:p>
    <w:p w14:paraId="200FBC6A">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eastAsia" w:ascii="Times New Roman" w:hAnsi="Times New Roman" w:eastAsia="宋体" w:cs="Times New Roman"/>
          <w:b/>
          <w:bCs/>
          <w:spacing w:val="10"/>
          <w:sz w:val="31"/>
          <w:szCs w:val="31"/>
          <w:lang w:val="en-US" w:eastAsia="zh-CN"/>
        </w:rPr>
      </w:pPr>
      <w:r>
        <w:rPr>
          <w:rFonts w:hint="eastAsia" w:ascii="Times New Roman" w:hAnsi="Times New Roman" w:eastAsia="宋体" w:cs="Times New Roman"/>
          <w:b/>
          <w:bCs/>
          <w:spacing w:val="10"/>
          <w:sz w:val="31"/>
          <w:szCs w:val="31"/>
          <w:lang w:val="en-US" w:eastAsia="zh-CN"/>
        </w:rPr>
        <w:t>2.2.12 产品碳足迹报告</w:t>
      </w:r>
    </w:p>
    <w:p w14:paraId="46A8A048">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default"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产品碳足迹的量化结果应当以透明和标准化的方式呈现，通常采用报告、声明、证书和/或标签等形式来描述。这些表述应明确指出每功能单位对应的二氧化碳当量，确保信息的清晰和一致性。如果使用产品碳足迹证书和/或标签，必须附上详尽的产品碳足迹报告，以提供完整的背景信息和数据支持。此外，当碳足迹量化结果用于下游供应链管理时，应详细报告每个产品阶段的碳足迹数据，这样做可以防止在供应链中对同一碳排放源的重复计算，从而确保整个供应链的碳足迹评估既准确又高效。</w:t>
      </w:r>
    </w:p>
    <w:p w14:paraId="1EDEA46F">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right="0" w:rightChars="0" w:firstLine="528" w:firstLineChars="200"/>
        <w:jc w:val="both"/>
        <w:textAlignment w:val="baseline"/>
        <w:rPr>
          <w:rFonts w:hint="eastAsia" w:ascii="宋体" w:hAnsi="宋体" w:eastAsia="宋体" w:cs="宋体"/>
          <w:spacing w:val="12"/>
          <w:sz w:val="24"/>
          <w:szCs w:val="24"/>
          <w:lang w:val="en-US" w:eastAsia="zh-CN"/>
        </w:rPr>
      </w:pPr>
      <w:r>
        <w:rPr>
          <w:rFonts w:hint="default" w:ascii="宋体" w:hAnsi="宋体" w:eastAsia="宋体" w:cs="宋体"/>
          <w:spacing w:val="12"/>
          <w:sz w:val="24"/>
          <w:szCs w:val="24"/>
          <w:lang w:val="en-US" w:eastAsia="zh-CN"/>
        </w:rPr>
        <w:t>根据本文件编制的产品碳足迹报告应全面而详细，涵盖以下关键内容：首先，报告应包含基本信息，如报告编号、编制与审核人员、发布与有效日期，以及所使用的产品类别规则；其次，应明确声明企业的基本信息，包括公司全称、统一社会信用代码、地址、联系人及方式、以及公司概况；接着，报告核心部分应详细描述产品碳足迹的评价目的和范围，包括产品描述、功能单位和系统边界，并进行生命周期清单分析，涵盖数据采集和取舍准则；进一步，报告应展示产品碳足迹的量化过程，包括数据计算和分配方法，并明确给出量化结果；此外，还应提供附加环境信息、可比性分析以及产品碳足迹绩效追踪（如适用）；最后，报告还应包括其他必要信息，如报告编制及验证机构的详细信息。附录F提供了报告的具体形式和结构，以确保信息的透明度和一致性。</w:t>
      </w:r>
    </w:p>
    <w:p w14:paraId="1446589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jc w:val="both"/>
        <w:textAlignment w:val="baseline"/>
        <w:rPr>
          <w:rFonts w:ascii="宋体" w:hAnsi="宋体" w:eastAsia="宋体" w:cs="宋体"/>
          <w:sz w:val="28"/>
          <w:szCs w:val="28"/>
        </w:rPr>
      </w:pPr>
      <w:r>
        <w:rPr>
          <w:rFonts w:hint="eastAsia" w:ascii="宋体" w:hAnsi="宋体" w:eastAsia="宋体" w:cs="宋体"/>
          <w:spacing w:val="12"/>
          <w:sz w:val="24"/>
          <w:szCs w:val="24"/>
        </w:rPr>
        <w:t>依据本文件编制的产品碳足迹报告应符合GB/T 24067-2024第7章的要求。</w:t>
      </w:r>
    </w:p>
    <w:p w14:paraId="1FF36839">
      <w:pPr>
        <w:spacing w:before="181" w:line="472" w:lineRule="exact"/>
        <w:ind w:left="33"/>
        <w:outlineLvl w:val="0"/>
        <w:rPr>
          <w:rFonts w:ascii="宋体" w:hAnsi="宋体" w:eastAsia="宋体" w:cs="宋体"/>
          <w:spacing w:val="18"/>
          <w:position w:val="2"/>
          <w:sz w:val="35"/>
          <w:szCs w:val="35"/>
          <w14:textOutline w14:w="6537" w14:cap="sq" w14:cmpd="sng">
            <w14:solidFill>
              <w14:srgbClr w14:val="000000"/>
            </w14:solidFill>
            <w14:prstDash w14:val="solid"/>
            <w14:bevel/>
          </w14:textOutline>
        </w:rPr>
      </w:pPr>
      <w:r>
        <w:rPr>
          <w:rFonts w:ascii="宋体" w:hAnsi="宋体" w:eastAsia="宋体" w:cs="宋体"/>
          <w:spacing w:val="18"/>
          <w:position w:val="2"/>
          <w:sz w:val="35"/>
          <w:szCs w:val="35"/>
          <w14:textOutline w14:w="6537" w14:cap="sq" w14:cmpd="sng">
            <w14:solidFill>
              <w14:srgbClr w14:val="000000"/>
            </w14:solidFill>
            <w14:prstDash w14:val="solid"/>
            <w14:bevel/>
          </w14:textOutline>
        </w:rPr>
        <w:t>三、主要验证情况分析</w:t>
      </w:r>
    </w:p>
    <w:p w14:paraId="535C2A38">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default" w:ascii="Times New Roman" w:hAnsi="Times New Roman" w:eastAsia="宋体" w:cs="Times New Roman"/>
          <w:spacing w:val="1"/>
          <w:position w:val="17"/>
          <w:sz w:val="24"/>
          <w:szCs w:val="24"/>
          <w:highlight w:val="none"/>
          <w:lang w:val="en-US" w:eastAsia="zh-CN"/>
        </w:rPr>
      </w:pPr>
      <w:r>
        <w:rPr>
          <w:rFonts w:hint="eastAsia" w:ascii="Times New Roman" w:hAnsi="Times New Roman" w:eastAsia="宋体" w:cs="Times New Roman"/>
          <w:spacing w:val="1"/>
          <w:position w:val="17"/>
          <w:sz w:val="24"/>
          <w:szCs w:val="24"/>
          <w:highlight w:val="none"/>
          <w:lang w:val="en-US" w:eastAsia="zh-CN"/>
        </w:rPr>
        <w:t>3.1 闸阀</w:t>
      </w:r>
    </w:p>
    <w:p w14:paraId="24AB2EDA">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default" w:ascii="Times New Roman" w:hAnsi="Times New Roman" w:eastAsia="宋体" w:cs="Times New Roman"/>
          <w:spacing w:val="1"/>
          <w:position w:val="17"/>
          <w:sz w:val="24"/>
          <w:szCs w:val="24"/>
          <w:highlight w:val="none"/>
          <w:lang w:val="en-US" w:eastAsia="zh-CN"/>
        </w:rPr>
      </w:pPr>
      <w:bookmarkStart w:id="1" w:name="_Toc100148641"/>
      <w:bookmarkStart w:id="2" w:name="_Toc514590644"/>
      <w:bookmarkStart w:id="3" w:name="_Toc9693"/>
      <w:r>
        <w:rPr>
          <w:rFonts w:hint="eastAsia" w:ascii="Times New Roman" w:hAnsi="Times New Roman" w:eastAsia="宋体" w:cs="Times New Roman"/>
          <w:spacing w:val="1"/>
          <w:position w:val="17"/>
          <w:sz w:val="24"/>
          <w:szCs w:val="24"/>
          <w:highlight w:val="none"/>
          <w:lang w:val="en-US" w:eastAsia="zh-CN"/>
        </w:rPr>
        <w:t>3.1</w:t>
      </w:r>
      <w:r>
        <w:rPr>
          <w:rFonts w:hint="default" w:ascii="Times New Roman" w:hAnsi="Times New Roman" w:eastAsia="宋体" w:cs="Times New Roman"/>
          <w:spacing w:val="1"/>
          <w:position w:val="17"/>
          <w:sz w:val="24"/>
          <w:szCs w:val="24"/>
          <w:highlight w:val="none"/>
          <w:lang w:val="en-US" w:eastAsia="zh-CN"/>
        </w:rPr>
        <w:t>.</w:t>
      </w:r>
      <w:r>
        <w:rPr>
          <w:rFonts w:hint="eastAsia" w:ascii="Times New Roman" w:hAnsi="Times New Roman" w:eastAsia="宋体" w:cs="Times New Roman"/>
          <w:spacing w:val="1"/>
          <w:position w:val="17"/>
          <w:sz w:val="24"/>
          <w:szCs w:val="24"/>
          <w:highlight w:val="none"/>
          <w:lang w:val="en-US" w:eastAsia="zh-CN"/>
        </w:rPr>
        <w:t xml:space="preserve">1 </w:t>
      </w:r>
      <w:r>
        <w:rPr>
          <w:rFonts w:hint="default" w:ascii="Times New Roman" w:hAnsi="Times New Roman" w:eastAsia="宋体" w:cs="Times New Roman"/>
          <w:spacing w:val="1"/>
          <w:position w:val="17"/>
          <w:sz w:val="24"/>
          <w:szCs w:val="24"/>
          <w:highlight w:val="none"/>
          <w:lang w:val="en-US" w:eastAsia="zh-CN"/>
        </w:rPr>
        <w:t>产品</w:t>
      </w:r>
      <w:r>
        <w:rPr>
          <w:rFonts w:hint="eastAsia" w:ascii="Times New Roman" w:hAnsi="Times New Roman" w:eastAsia="宋体" w:cs="Times New Roman"/>
          <w:spacing w:val="1"/>
          <w:position w:val="17"/>
          <w:sz w:val="24"/>
          <w:szCs w:val="24"/>
          <w:highlight w:val="none"/>
          <w:lang w:val="en-US" w:eastAsia="zh-CN"/>
        </w:rPr>
        <w:t>描述</w:t>
      </w:r>
    </w:p>
    <w:p w14:paraId="6192376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napToGrid w:val="0"/>
          <w:color w:val="000000"/>
          <w:spacing w:val="1"/>
          <w:kern w:val="0"/>
          <w:position w:val="17"/>
          <w:sz w:val="24"/>
          <w:szCs w:val="24"/>
          <w:lang w:val="en-US" w:eastAsia="zh-CN"/>
        </w:rPr>
      </w:pPr>
      <w:r>
        <w:rPr>
          <w:rFonts w:hint="default" w:ascii="Times New Roman" w:hAnsi="Times New Roman" w:eastAsia="宋体" w:cs="Times New Roman"/>
          <w:snapToGrid w:val="0"/>
          <w:color w:val="000000"/>
          <w:spacing w:val="1"/>
          <w:kern w:val="0"/>
          <w:position w:val="17"/>
          <w:sz w:val="24"/>
          <w:szCs w:val="24"/>
          <w:lang w:val="en-US" w:eastAsia="zh-CN"/>
        </w:rPr>
        <w:t>产品名称：</w:t>
      </w:r>
      <w:r>
        <w:rPr>
          <w:rFonts w:hint="eastAsia" w:ascii="Times New Roman" w:hAnsi="Times New Roman" w:eastAsia="宋体" w:cs="Times New Roman"/>
          <w:snapToGrid w:val="0"/>
          <w:color w:val="000000"/>
          <w:spacing w:val="1"/>
          <w:kern w:val="0"/>
          <w:position w:val="17"/>
          <w:sz w:val="24"/>
          <w:szCs w:val="24"/>
          <w:lang w:val="en-US" w:eastAsia="zh-CN"/>
        </w:rPr>
        <w:t>软密封闸阀 ；</w:t>
      </w:r>
    </w:p>
    <w:p w14:paraId="650AABD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napToGrid w:val="0"/>
          <w:color w:val="000000"/>
          <w:spacing w:val="1"/>
          <w:kern w:val="0"/>
          <w:position w:val="17"/>
          <w:sz w:val="24"/>
          <w:szCs w:val="24"/>
          <w:lang w:val="en-US" w:eastAsia="zh-CN"/>
        </w:rPr>
      </w:pPr>
      <w:r>
        <w:rPr>
          <w:rFonts w:hint="default" w:ascii="Times New Roman" w:hAnsi="Times New Roman" w:eastAsia="宋体" w:cs="Times New Roman"/>
          <w:snapToGrid w:val="0"/>
          <w:color w:val="000000"/>
          <w:spacing w:val="1"/>
          <w:kern w:val="0"/>
          <w:position w:val="17"/>
          <w:sz w:val="24"/>
          <w:szCs w:val="24"/>
          <w:lang w:val="en-US" w:eastAsia="zh-CN"/>
        </w:rPr>
        <w:t>产品规格型号：</w:t>
      </w:r>
      <w:r>
        <w:rPr>
          <w:rFonts w:hint="eastAsia" w:ascii="Times New Roman" w:hAnsi="Times New Roman" w:eastAsia="宋体" w:cs="Times New Roman"/>
          <w:snapToGrid w:val="0"/>
          <w:color w:val="000000"/>
          <w:spacing w:val="1"/>
          <w:kern w:val="0"/>
          <w:position w:val="17"/>
          <w:sz w:val="24"/>
          <w:szCs w:val="24"/>
          <w:lang w:val="en-US" w:eastAsia="zh-CN"/>
        </w:rPr>
        <w:t>Z41X-10/16/25Q（法兰连接，明杆，软密封，球墨铸铁，闸阀，公称压力：PN10、PN16、PN25）</w:t>
      </w:r>
    </w:p>
    <w:p w14:paraId="3DD86DEB">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default"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3.1.2 量化</w:t>
      </w:r>
      <w:r>
        <w:rPr>
          <w:rFonts w:hint="default" w:ascii="Times New Roman" w:hAnsi="Times New Roman" w:eastAsia="宋体" w:cs="Times New Roman"/>
          <w:spacing w:val="1"/>
          <w:position w:val="17"/>
          <w:sz w:val="24"/>
          <w:szCs w:val="24"/>
          <w:lang w:val="en-US" w:eastAsia="zh-CN"/>
        </w:rPr>
        <w:t>目的</w:t>
      </w:r>
      <w:bookmarkEnd w:id="1"/>
      <w:bookmarkEnd w:id="2"/>
      <w:bookmarkEnd w:id="3"/>
    </w:p>
    <w:p w14:paraId="3F763AB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ascii="Times New Roman" w:hAnsi="Times New Roman" w:eastAsia="宋体" w:cs="Times New Roman"/>
          <w:spacing w:val="1"/>
          <w:position w:val="17"/>
          <w:sz w:val="24"/>
          <w:szCs w:val="24"/>
          <w:lang w:val="en-US" w:eastAsia="zh-CN"/>
        </w:rPr>
      </w:pPr>
      <w:bookmarkStart w:id="4" w:name="_Hlk514410604"/>
      <w:r>
        <w:rPr>
          <w:rFonts w:hint="eastAsia" w:ascii="Times New Roman" w:hAnsi="Times New Roman" w:eastAsia="宋体" w:cs="Times New Roman"/>
          <w:snapToGrid w:val="0"/>
          <w:color w:val="000000"/>
          <w:spacing w:val="1"/>
          <w:kern w:val="0"/>
          <w:position w:val="17"/>
          <w:sz w:val="24"/>
          <w:szCs w:val="24"/>
          <w:lang w:val="en-US" w:eastAsia="zh-CN"/>
        </w:rPr>
        <w:t>通过</w:t>
      </w:r>
      <w:r>
        <w:rPr>
          <w:rFonts w:hint="default" w:ascii="Times New Roman" w:hAnsi="Times New Roman" w:eastAsia="宋体" w:cs="Times New Roman"/>
          <w:snapToGrid w:val="0"/>
          <w:color w:val="000000"/>
          <w:spacing w:val="1"/>
          <w:kern w:val="0"/>
          <w:position w:val="17"/>
          <w:sz w:val="24"/>
          <w:szCs w:val="24"/>
          <w:lang w:val="en-US" w:eastAsia="zh-CN"/>
        </w:rPr>
        <w:t>量化</w:t>
      </w:r>
      <w:r>
        <w:rPr>
          <w:rFonts w:hint="eastAsia" w:ascii="Times New Roman" w:hAnsi="Times New Roman" w:eastAsia="宋体" w:cs="Times New Roman"/>
          <w:snapToGrid w:val="0"/>
          <w:color w:val="000000"/>
          <w:spacing w:val="1"/>
          <w:kern w:val="0"/>
          <w:position w:val="17"/>
          <w:sz w:val="24"/>
          <w:szCs w:val="24"/>
          <w:lang w:val="en-US" w:eastAsia="zh-CN"/>
        </w:rPr>
        <w:t>建筑阀门</w:t>
      </w:r>
      <w:r>
        <w:rPr>
          <w:rFonts w:hint="default" w:ascii="Times New Roman" w:hAnsi="Times New Roman" w:eastAsia="宋体" w:cs="Times New Roman"/>
          <w:snapToGrid w:val="0"/>
          <w:color w:val="000000"/>
          <w:spacing w:val="1"/>
          <w:kern w:val="0"/>
          <w:position w:val="17"/>
          <w:sz w:val="24"/>
          <w:szCs w:val="24"/>
          <w:lang w:val="en-US" w:eastAsia="zh-CN"/>
        </w:rPr>
        <w:t>产品生命周期或选定</w:t>
      </w:r>
      <w:r>
        <w:rPr>
          <w:rFonts w:hint="eastAsia" w:ascii="Times New Roman" w:hAnsi="Times New Roman" w:eastAsia="宋体" w:cs="Times New Roman"/>
          <w:snapToGrid w:val="0"/>
          <w:color w:val="000000"/>
          <w:spacing w:val="1"/>
          <w:kern w:val="0"/>
          <w:position w:val="17"/>
          <w:sz w:val="24"/>
          <w:szCs w:val="24"/>
          <w:lang w:val="en-US" w:eastAsia="zh-CN"/>
        </w:rPr>
        <w:t>阶段</w:t>
      </w:r>
      <w:r>
        <w:rPr>
          <w:rFonts w:hint="default" w:ascii="Times New Roman" w:hAnsi="Times New Roman" w:eastAsia="宋体" w:cs="Times New Roman"/>
          <w:snapToGrid w:val="0"/>
          <w:color w:val="000000"/>
          <w:spacing w:val="1"/>
          <w:kern w:val="0"/>
          <w:position w:val="17"/>
          <w:sz w:val="24"/>
          <w:szCs w:val="24"/>
          <w:lang w:val="en-US" w:eastAsia="zh-CN"/>
        </w:rPr>
        <w:t>的温室气体排放量和清除量（以二氧化碳当量表示），</w:t>
      </w:r>
      <w:r>
        <w:rPr>
          <w:rFonts w:hint="eastAsia" w:ascii="Times New Roman" w:hAnsi="Times New Roman" w:eastAsia="宋体" w:cs="Times New Roman"/>
          <w:snapToGrid w:val="0"/>
          <w:color w:val="000000"/>
          <w:spacing w:val="1"/>
          <w:kern w:val="0"/>
          <w:position w:val="17"/>
          <w:sz w:val="24"/>
          <w:szCs w:val="24"/>
          <w:lang w:val="en-US" w:eastAsia="zh-CN"/>
        </w:rPr>
        <w:t>评价产品对气候变化的潜在影响；用于生产者与上下游供应链或消费者之间的温室气体排放信息沟通；用于生产者降低产品碳足迹的设计与改进以及同类产品间的对比</w:t>
      </w:r>
      <w:r>
        <w:rPr>
          <w:rFonts w:hint="default" w:ascii="Times New Roman" w:hAnsi="Times New Roman" w:eastAsia="宋体" w:cs="Times New Roman"/>
          <w:spacing w:val="1"/>
          <w:position w:val="17"/>
          <w:sz w:val="24"/>
          <w:szCs w:val="24"/>
          <w:lang w:val="en-US" w:eastAsia="zh-CN"/>
        </w:rPr>
        <w:t>。</w:t>
      </w:r>
      <w:bookmarkEnd w:id="4"/>
    </w:p>
    <w:p w14:paraId="7F06F3B3">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default" w:ascii="Times New Roman" w:hAnsi="Times New Roman" w:eastAsia="宋体" w:cs="Times New Roman"/>
          <w:spacing w:val="1"/>
          <w:position w:val="17"/>
          <w:sz w:val="24"/>
          <w:szCs w:val="24"/>
          <w:highlight w:val="none"/>
          <w:lang w:val="en-US" w:eastAsia="zh-CN"/>
        </w:rPr>
      </w:pPr>
      <w:bookmarkStart w:id="5" w:name="_Toc100148642"/>
      <w:bookmarkStart w:id="6" w:name="_Toc514590645"/>
      <w:bookmarkStart w:id="7" w:name="_Toc19847"/>
      <w:bookmarkStart w:id="8" w:name="_Toc514590646"/>
      <w:bookmarkStart w:id="9" w:name="_Toc1461"/>
      <w:bookmarkStart w:id="10" w:name="_Toc100148643"/>
      <w:r>
        <w:rPr>
          <w:rFonts w:hint="eastAsia" w:ascii="Times New Roman" w:hAnsi="Times New Roman" w:eastAsia="宋体" w:cs="Times New Roman"/>
          <w:spacing w:val="1"/>
          <w:position w:val="17"/>
          <w:sz w:val="24"/>
          <w:szCs w:val="24"/>
          <w:highlight w:val="none"/>
          <w:lang w:val="en-US" w:eastAsia="zh-CN"/>
        </w:rPr>
        <w:t xml:space="preserve">3.1.3 </w:t>
      </w:r>
      <w:bookmarkEnd w:id="5"/>
      <w:bookmarkEnd w:id="6"/>
      <w:bookmarkEnd w:id="7"/>
      <w:r>
        <w:rPr>
          <w:rFonts w:hint="eastAsia" w:ascii="Times New Roman" w:hAnsi="Times New Roman" w:eastAsia="宋体" w:cs="Times New Roman"/>
          <w:spacing w:val="1"/>
          <w:position w:val="17"/>
          <w:sz w:val="24"/>
          <w:szCs w:val="24"/>
          <w:highlight w:val="none"/>
          <w:lang w:val="en-US" w:eastAsia="zh-CN"/>
        </w:rPr>
        <w:t>量化范围</w:t>
      </w:r>
    </w:p>
    <w:p w14:paraId="0240CEA4">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default" w:ascii="Times New Roman" w:hAnsi="Times New Roman" w:eastAsia="宋体" w:cs="Times New Roman"/>
          <w:spacing w:val="1"/>
          <w:position w:val="17"/>
          <w:sz w:val="24"/>
          <w:szCs w:val="24"/>
          <w:highlight w:val="none"/>
          <w:lang w:val="en-US" w:eastAsia="zh-CN"/>
        </w:rPr>
      </w:pPr>
      <w:r>
        <w:rPr>
          <w:rFonts w:hint="eastAsia" w:ascii="Times New Roman" w:hAnsi="Times New Roman" w:eastAsia="宋体" w:cs="Times New Roman"/>
          <w:snapToGrid w:val="0"/>
          <w:color w:val="000000"/>
          <w:spacing w:val="1"/>
          <w:kern w:val="0"/>
          <w:position w:val="17"/>
          <w:sz w:val="24"/>
          <w:szCs w:val="24"/>
          <w:highlight w:val="none"/>
          <w:lang w:val="en-US" w:eastAsia="zh-CN"/>
        </w:rPr>
        <w:t>3.1.3.1 声明单位</w:t>
      </w:r>
    </w:p>
    <w:p w14:paraId="27C3DDE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bookmarkStart w:id="11" w:name="OLE_LINK4"/>
      <w:r>
        <w:rPr>
          <w:rFonts w:hint="eastAsia" w:ascii="Times New Roman" w:hAnsi="Times New Roman" w:eastAsia="宋体" w:cs="Times New Roman"/>
          <w:spacing w:val="1"/>
          <w:position w:val="17"/>
          <w:sz w:val="24"/>
          <w:szCs w:val="24"/>
          <w:lang w:val="en-US" w:eastAsia="zh-CN"/>
        </w:rPr>
        <w:t>——</w:t>
      </w:r>
      <w:r>
        <w:rPr>
          <w:rFonts w:hint="default" w:ascii="Times New Roman" w:hAnsi="Times New Roman" w:eastAsia="宋体" w:cs="Times New Roman"/>
          <w:spacing w:val="1"/>
          <w:position w:val="17"/>
          <w:sz w:val="24"/>
          <w:szCs w:val="24"/>
          <w:lang w:val="en-US" w:eastAsia="zh-CN"/>
        </w:rPr>
        <w:t>生产1kg软密封闸阀产品</w:t>
      </w:r>
      <w:r>
        <w:rPr>
          <w:rFonts w:hint="eastAsia" w:ascii="Times New Roman" w:hAnsi="Times New Roman" w:eastAsia="宋体" w:cs="Times New Roman"/>
          <w:spacing w:val="1"/>
          <w:position w:val="17"/>
          <w:sz w:val="24"/>
          <w:szCs w:val="24"/>
          <w:lang w:val="en-US" w:eastAsia="zh-CN"/>
        </w:rPr>
        <w:t>；</w:t>
      </w:r>
    </w:p>
    <w:p w14:paraId="313D5C7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w:t>
      </w:r>
      <w:r>
        <w:rPr>
          <w:rFonts w:hint="eastAsia" w:ascii="Times New Roman" w:hAnsi="Times New Roman" w:eastAsia="宋体" w:cs="Times New Roman"/>
          <w:snapToGrid w:val="0"/>
          <w:color w:val="000000"/>
          <w:spacing w:val="1"/>
          <w:kern w:val="0"/>
          <w:position w:val="17"/>
          <w:sz w:val="24"/>
          <w:szCs w:val="24"/>
          <w:lang w:val="en-US" w:eastAsia="zh-CN"/>
        </w:rPr>
        <w:t>主要性能指标或规格参数：Z41X-10/16/25Q（法兰连接，明杆，软密封，球墨铸铁，闸阀，公称压力：PN10、PN16、PN25）</w:t>
      </w:r>
      <w:r>
        <w:rPr>
          <w:rFonts w:hint="default" w:ascii="Times New Roman" w:hAnsi="Times New Roman" w:eastAsia="宋体" w:cs="Times New Roman"/>
          <w:spacing w:val="1"/>
          <w:position w:val="17"/>
          <w:sz w:val="24"/>
          <w:szCs w:val="24"/>
          <w:lang w:val="en-US" w:eastAsia="zh-CN"/>
        </w:rPr>
        <w:t>。</w:t>
      </w:r>
      <w:bookmarkEnd w:id="11"/>
    </w:p>
    <w:p w14:paraId="217253D4">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default"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 xml:space="preserve">3.1.3.2 </w:t>
      </w:r>
      <w:r>
        <w:rPr>
          <w:rFonts w:hint="default" w:ascii="Times New Roman" w:hAnsi="Times New Roman" w:eastAsia="宋体" w:cs="Times New Roman"/>
          <w:spacing w:val="1"/>
          <w:position w:val="17"/>
          <w:sz w:val="24"/>
          <w:szCs w:val="24"/>
          <w:lang w:val="en-US" w:eastAsia="zh-CN"/>
        </w:rPr>
        <w:t>系统边界</w:t>
      </w:r>
      <w:bookmarkEnd w:id="8"/>
      <w:bookmarkEnd w:id="9"/>
      <w:bookmarkEnd w:id="10"/>
    </w:p>
    <w:p w14:paraId="4F8AF58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ascii="Times New Roman" w:hAnsi="Times New Roman" w:eastAsia="宋体" w:cs="Times New Roman"/>
          <w:spacing w:val="1"/>
          <w:position w:val="17"/>
          <w:sz w:val="24"/>
          <w:szCs w:val="24"/>
          <w:lang w:val="en-US" w:eastAsia="zh-CN"/>
        </w:rPr>
      </w:pPr>
      <w:bookmarkStart w:id="12" w:name="_Hlk514410634"/>
      <w:r>
        <w:rPr>
          <w:rFonts w:hint="default" w:ascii="Times New Roman" w:hAnsi="Times New Roman" w:eastAsia="宋体" w:cs="Times New Roman"/>
          <w:spacing w:val="1"/>
          <w:position w:val="17"/>
          <w:sz w:val="24"/>
          <w:szCs w:val="24"/>
          <w:lang w:val="en-US" w:eastAsia="zh-CN"/>
        </w:rPr>
        <w:t>界定系统边界为</w:t>
      </w:r>
      <w:r>
        <w:rPr>
          <w:rFonts w:hint="eastAsia" w:ascii="Times New Roman" w:hAnsi="Times New Roman" w:eastAsia="宋体" w:cs="Times New Roman"/>
          <w:spacing w:val="1"/>
          <w:position w:val="17"/>
          <w:sz w:val="24"/>
          <w:szCs w:val="24"/>
          <w:lang w:val="en-US" w:eastAsia="zh-CN"/>
        </w:rPr>
        <w:t>“</w:t>
      </w:r>
      <w:r>
        <w:rPr>
          <w:rFonts w:hint="default" w:ascii="Times New Roman" w:hAnsi="Times New Roman" w:eastAsia="宋体" w:cs="Times New Roman"/>
          <w:spacing w:val="1"/>
          <w:position w:val="17"/>
          <w:sz w:val="24"/>
          <w:szCs w:val="24"/>
          <w:lang w:val="en-US" w:eastAsia="zh-CN"/>
        </w:rPr>
        <w:t>从摇篮到大门</w:t>
      </w:r>
      <w:r>
        <w:rPr>
          <w:rFonts w:hint="eastAsia" w:ascii="Times New Roman" w:hAnsi="Times New Roman" w:eastAsia="宋体" w:cs="Times New Roman"/>
          <w:spacing w:val="1"/>
          <w:position w:val="17"/>
          <w:sz w:val="24"/>
          <w:szCs w:val="24"/>
          <w:lang w:val="en-US" w:eastAsia="zh-CN"/>
        </w:rPr>
        <w:t>”</w:t>
      </w:r>
      <w:r>
        <w:rPr>
          <w:rFonts w:hint="default" w:ascii="Times New Roman" w:hAnsi="Times New Roman" w:eastAsia="宋体" w:cs="Times New Roman"/>
          <w:spacing w:val="1"/>
          <w:position w:val="17"/>
          <w:sz w:val="24"/>
          <w:szCs w:val="24"/>
          <w:lang w:val="en-US" w:eastAsia="zh-CN"/>
        </w:rPr>
        <w:t>的生命周期过程（见图</w:t>
      </w:r>
      <w:r>
        <w:rPr>
          <w:rFonts w:hint="eastAsia" w:ascii="Times New Roman" w:hAnsi="Times New Roman" w:eastAsia="宋体" w:cs="Times New Roman"/>
          <w:spacing w:val="1"/>
          <w:position w:val="17"/>
          <w:sz w:val="24"/>
          <w:szCs w:val="24"/>
          <w:lang w:val="en-US" w:eastAsia="zh-CN"/>
        </w:rPr>
        <w:t>2</w:t>
      </w:r>
      <w:r>
        <w:rPr>
          <w:rFonts w:hint="default" w:ascii="Times New Roman" w:hAnsi="Times New Roman" w:eastAsia="宋体" w:cs="Times New Roman"/>
          <w:spacing w:val="1"/>
          <w:position w:val="17"/>
          <w:sz w:val="24"/>
          <w:szCs w:val="24"/>
          <w:lang w:val="en-US" w:eastAsia="zh-CN"/>
        </w:rPr>
        <w:t>），从原料与能源获取、运输、产品生产到产品出厂为止，不包括产品的使用和废弃阶段。</w:t>
      </w:r>
      <w:bookmarkEnd w:id="12"/>
    </w:p>
    <w:tbl>
      <w:tblPr>
        <w:tblStyle w:val="14"/>
        <w:tblW w:w="4221"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44"/>
        <w:gridCol w:w="1444"/>
        <w:gridCol w:w="1444"/>
        <w:gridCol w:w="1444"/>
        <w:gridCol w:w="1444"/>
      </w:tblGrid>
      <w:tr w14:paraId="10E80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4" w:hRule="atLeast"/>
          <w:jc w:val="center"/>
        </w:trPr>
        <w:tc>
          <w:tcPr>
            <w:tcW w:w="3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D058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rPr>
            </w:pPr>
            <w:r>
              <w:rPr>
                <w:rFonts w:hint="default" w:ascii="Times New Roman" w:hAnsi="Times New Roman" w:eastAsia="宋体" w:cs="Times New Roman"/>
                <w:i w:val="0"/>
                <w:iCs w:val="0"/>
                <w:color w:val="000000"/>
                <w:kern w:val="0"/>
                <w:sz w:val="21"/>
                <w:szCs w:val="21"/>
                <w:highlight w:val="none"/>
                <w:u w:val="none"/>
                <w:lang w:val="en-US" w:eastAsia="zh-CN" w:bidi="ar"/>
              </w:rPr>
              <w:t>A1-A3</w:t>
            </w:r>
          </w:p>
        </w:tc>
        <w:tc>
          <w:tcPr>
            <w:tcW w:w="20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630C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lang w:val="en-US"/>
              </w:rPr>
            </w:pPr>
            <w:r>
              <w:rPr>
                <w:rFonts w:hint="default" w:ascii="Times New Roman" w:hAnsi="Times New Roman" w:eastAsia="宋体" w:cs="Times New Roman"/>
                <w:i w:val="0"/>
                <w:iCs w:val="0"/>
                <w:color w:val="000000"/>
                <w:kern w:val="0"/>
                <w:sz w:val="21"/>
                <w:szCs w:val="21"/>
                <w:highlight w:val="none"/>
                <w:u w:val="none"/>
                <w:lang w:val="en-US" w:eastAsia="zh-CN" w:bidi="ar"/>
              </w:rPr>
              <w:t>B1-B2</w:t>
            </w:r>
          </w:p>
        </w:tc>
      </w:tr>
      <w:tr w14:paraId="0A794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3" w:hRule="atLeast"/>
          <w:jc w:val="center"/>
        </w:trPr>
        <w:tc>
          <w:tcPr>
            <w:tcW w:w="3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F820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rPr>
            </w:pPr>
            <w:r>
              <w:rPr>
                <w:rFonts w:hint="default" w:ascii="Times New Roman" w:hAnsi="Times New Roman" w:eastAsia="宋体" w:cs="Times New Roman"/>
                <w:i w:val="0"/>
                <w:iCs w:val="0"/>
                <w:color w:val="000000"/>
                <w:kern w:val="0"/>
                <w:sz w:val="21"/>
                <w:szCs w:val="21"/>
                <w:highlight w:val="none"/>
                <w:u w:val="none"/>
                <w:lang w:val="en-US" w:eastAsia="zh-CN" w:bidi="ar"/>
              </w:rPr>
              <w:t>原料与能源获取阶段</w:t>
            </w:r>
          </w:p>
        </w:tc>
        <w:tc>
          <w:tcPr>
            <w:tcW w:w="20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F379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rPr>
            </w:pPr>
            <w:r>
              <w:rPr>
                <w:rFonts w:hint="default" w:ascii="Times New Roman" w:hAnsi="Times New Roman" w:eastAsia="宋体" w:cs="Times New Roman"/>
                <w:i w:val="0"/>
                <w:iCs w:val="0"/>
                <w:color w:val="000000"/>
                <w:kern w:val="0"/>
                <w:sz w:val="21"/>
                <w:szCs w:val="21"/>
                <w:highlight w:val="none"/>
                <w:u w:val="none"/>
                <w:lang w:val="en-US" w:eastAsia="zh-CN" w:bidi="ar"/>
              </w:rPr>
              <w:t>产品生产阶段</w:t>
            </w:r>
          </w:p>
        </w:tc>
      </w:tr>
      <w:tr w14:paraId="042A9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4" w:hRule="atLeast"/>
          <w:jc w:val="center"/>
        </w:trPr>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54EE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rPr>
            </w:pPr>
            <w:r>
              <w:rPr>
                <w:rFonts w:hint="default" w:ascii="Times New Roman" w:hAnsi="Times New Roman" w:eastAsia="宋体" w:cs="Times New Roman"/>
                <w:i w:val="0"/>
                <w:iCs w:val="0"/>
                <w:color w:val="000000"/>
                <w:kern w:val="0"/>
                <w:sz w:val="21"/>
                <w:szCs w:val="21"/>
                <w:highlight w:val="none"/>
                <w:u w:val="none"/>
                <w:lang w:val="en-US" w:eastAsia="zh-CN" w:bidi="ar"/>
              </w:rPr>
              <w:t>A1</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6157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rPr>
            </w:pPr>
            <w:r>
              <w:rPr>
                <w:rFonts w:hint="default" w:ascii="Times New Roman" w:hAnsi="Times New Roman" w:eastAsia="宋体" w:cs="Times New Roman"/>
                <w:i w:val="0"/>
                <w:iCs w:val="0"/>
                <w:color w:val="000000"/>
                <w:kern w:val="0"/>
                <w:sz w:val="21"/>
                <w:szCs w:val="21"/>
                <w:highlight w:val="none"/>
                <w:u w:val="none"/>
                <w:lang w:val="en-US" w:eastAsia="zh-CN" w:bidi="ar"/>
              </w:rPr>
              <w:t>A2</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AEA4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rPr>
            </w:pPr>
            <w:r>
              <w:rPr>
                <w:rFonts w:hint="default" w:ascii="Times New Roman" w:hAnsi="Times New Roman" w:eastAsia="宋体" w:cs="Times New Roman"/>
                <w:i w:val="0"/>
                <w:iCs w:val="0"/>
                <w:color w:val="000000"/>
                <w:kern w:val="0"/>
                <w:sz w:val="21"/>
                <w:szCs w:val="21"/>
                <w:highlight w:val="none"/>
                <w:u w:val="none"/>
                <w:lang w:val="en-US" w:eastAsia="zh-CN" w:bidi="ar"/>
              </w:rPr>
              <w:t>A3</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5FAF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lang w:val="en-US" w:eastAsia="zh-CN"/>
              </w:rPr>
            </w:pPr>
            <w:r>
              <w:rPr>
                <w:rFonts w:hint="default" w:ascii="Times New Roman" w:hAnsi="Times New Roman" w:eastAsia="宋体" w:cs="Times New Roman"/>
                <w:i w:val="0"/>
                <w:iCs w:val="0"/>
                <w:color w:val="000000"/>
                <w:sz w:val="21"/>
                <w:szCs w:val="21"/>
                <w:highlight w:val="none"/>
                <w:u w:val="none"/>
                <w:lang w:val="en-US" w:eastAsia="zh-CN"/>
              </w:rPr>
              <w:t>B1</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8414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lang w:val="en-US" w:eastAsia="zh-CN"/>
              </w:rPr>
            </w:pPr>
            <w:r>
              <w:rPr>
                <w:rFonts w:hint="default" w:ascii="Times New Roman" w:hAnsi="Times New Roman" w:eastAsia="宋体" w:cs="Times New Roman"/>
                <w:i w:val="0"/>
                <w:iCs w:val="0"/>
                <w:color w:val="000000"/>
                <w:sz w:val="21"/>
                <w:szCs w:val="21"/>
                <w:highlight w:val="none"/>
                <w:u w:val="none"/>
                <w:lang w:val="en-US" w:eastAsia="zh-CN"/>
              </w:rPr>
              <w:t>B2</w:t>
            </w:r>
          </w:p>
        </w:tc>
      </w:tr>
      <w:tr w14:paraId="57210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4" w:hRule="atLeast"/>
          <w:jc w:val="center"/>
        </w:trPr>
        <w:tc>
          <w:tcPr>
            <w:tcW w:w="1000" w:type="pct"/>
            <w:tcBorders>
              <w:top w:val="single" w:color="000000" w:sz="4" w:space="0"/>
              <w:left w:val="single" w:color="auto" w:sz="4" w:space="0"/>
              <w:bottom w:val="single" w:color="000000" w:sz="4" w:space="0"/>
              <w:right w:val="single" w:color="000000" w:sz="4" w:space="0"/>
            </w:tcBorders>
            <w:shd w:val="clear" w:color="auto" w:fill="auto"/>
            <w:vAlign w:val="center"/>
          </w:tcPr>
          <w:p w14:paraId="3766917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rPr>
            </w:pPr>
            <w:r>
              <w:rPr>
                <w:rFonts w:hint="default" w:ascii="Times New Roman" w:hAnsi="Times New Roman" w:eastAsia="宋体" w:cs="Times New Roman"/>
                <w:i w:val="0"/>
                <w:iCs w:val="0"/>
                <w:color w:val="000000"/>
                <w:kern w:val="0"/>
                <w:sz w:val="21"/>
                <w:szCs w:val="21"/>
                <w:highlight w:val="none"/>
                <w:u w:val="none"/>
                <w:lang w:val="en-US" w:eastAsia="zh-CN" w:bidi="ar"/>
              </w:rPr>
              <w:t>原料获取</w:t>
            </w: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F755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lang w:val="en-US" w:eastAsia="zh-CN"/>
              </w:rPr>
            </w:pPr>
            <w:r>
              <w:rPr>
                <w:rFonts w:hint="default" w:ascii="Times New Roman" w:hAnsi="Times New Roman" w:eastAsia="宋体" w:cs="Times New Roman"/>
                <w:i w:val="0"/>
                <w:iCs w:val="0"/>
                <w:color w:val="000000"/>
                <w:sz w:val="21"/>
                <w:szCs w:val="21"/>
                <w:highlight w:val="none"/>
                <w:u w:val="none"/>
                <w:lang w:val="en-US" w:eastAsia="zh-CN"/>
              </w:rPr>
              <w:t>能源获取</w:t>
            </w: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55B2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1"/>
                <w:szCs w:val="21"/>
                <w:highlight w:val="none"/>
                <w:u w:val="none"/>
                <w:lang w:val="en-US" w:eastAsia="zh-CN"/>
              </w:rPr>
            </w:pPr>
            <w:r>
              <w:rPr>
                <w:rFonts w:hint="default" w:ascii="Times New Roman" w:hAnsi="Times New Roman" w:cs="Times New Roman"/>
                <w:b w:val="0"/>
                <w:bCs w:val="0"/>
                <w:i w:val="0"/>
                <w:iCs w:val="0"/>
                <w:color w:val="000000"/>
                <w:sz w:val="21"/>
                <w:szCs w:val="21"/>
                <w:highlight w:val="none"/>
                <w:u w:val="none"/>
                <w:lang w:val="en-US" w:eastAsia="zh-CN"/>
              </w:rPr>
              <w:t>原燃料运输</w:t>
            </w: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1F24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lang w:val="en-US"/>
              </w:rPr>
            </w:pPr>
            <w:r>
              <w:rPr>
                <w:rFonts w:hint="default" w:ascii="Times New Roman" w:hAnsi="Times New Roman" w:cs="Times New Roman"/>
                <w:i w:val="0"/>
                <w:iCs w:val="0"/>
                <w:color w:val="000000"/>
                <w:kern w:val="0"/>
                <w:sz w:val="21"/>
                <w:szCs w:val="21"/>
                <w:highlight w:val="none"/>
                <w:u w:val="none"/>
                <w:lang w:val="en-US" w:eastAsia="zh-CN" w:bidi="ar"/>
              </w:rPr>
              <w:t>产品制造</w:t>
            </w: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97C6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lang w:val="en-US"/>
              </w:rPr>
            </w:pPr>
            <w:r>
              <w:rPr>
                <w:rFonts w:hint="default" w:ascii="Times New Roman" w:hAnsi="Times New Roman" w:cs="Times New Roman"/>
                <w:i w:val="0"/>
                <w:iCs w:val="0"/>
                <w:color w:val="000000"/>
                <w:kern w:val="0"/>
                <w:sz w:val="21"/>
                <w:szCs w:val="21"/>
                <w:highlight w:val="none"/>
                <w:u w:val="none"/>
                <w:lang w:val="en-US" w:eastAsia="zh-CN" w:bidi="ar"/>
              </w:rPr>
              <w:t>厂内运输</w:t>
            </w:r>
          </w:p>
        </w:tc>
      </w:tr>
    </w:tbl>
    <w:p w14:paraId="65F2994E">
      <w:pPr>
        <w:pStyle w:val="8"/>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Times New Roman" w:hAnsi="Times New Roman" w:cs="Times New Roman"/>
          <w:highlight w:val="none"/>
        </w:rPr>
      </w:pPr>
      <w:r>
        <w:rPr>
          <w:rFonts w:hint="default" w:ascii="Times New Roman" w:hAnsi="Times New Roman" w:cs="Times New Roman"/>
          <w:highlight w:val="none"/>
        </w:rPr>
        <w:t xml:space="preserve">图 </w:t>
      </w:r>
      <w:r>
        <w:rPr>
          <w:rFonts w:hint="eastAsia" w:ascii="Times New Roman" w:hAnsi="Times New Roman" w:cs="Times New Roman"/>
          <w:highlight w:val="none"/>
          <w:lang w:val="en-US" w:eastAsia="zh-CN"/>
        </w:rPr>
        <w:t>2</w:t>
      </w:r>
      <w:r>
        <w:rPr>
          <w:rFonts w:hint="default" w:ascii="Times New Roman" w:hAnsi="Times New Roman" w:cs="Times New Roman"/>
          <w:highlight w:val="none"/>
          <w:lang w:val="en-US" w:eastAsia="zh-CN"/>
        </w:rPr>
        <w:t xml:space="preserve"> </w:t>
      </w:r>
      <w:r>
        <w:rPr>
          <w:rFonts w:hint="eastAsia" w:ascii="Times New Roman" w:hAnsi="Times New Roman" w:cs="Times New Roman"/>
          <w:sz w:val="20"/>
          <w:szCs w:val="20"/>
          <w:highlight w:val="none"/>
          <w:lang w:eastAsia="zh-CN"/>
        </w:rPr>
        <w:t>阀门</w:t>
      </w:r>
      <w:r>
        <w:rPr>
          <w:rFonts w:hint="default" w:ascii="Times New Roman" w:hAnsi="Times New Roman" w:cs="Times New Roman"/>
          <w:sz w:val="20"/>
          <w:szCs w:val="20"/>
          <w:highlight w:val="none"/>
        </w:rPr>
        <w:t>碳足迹评价的系统边界图</w:t>
      </w:r>
    </w:p>
    <w:p w14:paraId="790A0FF3">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eastAsia" w:ascii="Times New Roman" w:hAnsi="Times New Roman" w:eastAsia="宋体" w:cs="Times New Roman"/>
          <w:spacing w:val="1"/>
          <w:position w:val="17"/>
          <w:sz w:val="24"/>
          <w:szCs w:val="24"/>
          <w:lang w:val="en-US" w:eastAsia="zh-CN"/>
        </w:rPr>
      </w:pPr>
      <w:bookmarkStart w:id="13" w:name="_Toc100148644"/>
      <w:bookmarkStart w:id="14" w:name="_Toc1885"/>
      <w:r>
        <w:rPr>
          <w:rFonts w:hint="eastAsia" w:ascii="Times New Roman" w:hAnsi="Times New Roman" w:eastAsia="宋体" w:cs="Times New Roman"/>
          <w:spacing w:val="1"/>
          <w:position w:val="17"/>
          <w:sz w:val="24"/>
          <w:szCs w:val="24"/>
          <w:lang w:val="en-US" w:eastAsia="zh-CN"/>
        </w:rPr>
        <w:t>3.1.3.3 取舍准则</w:t>
      </w:r>
    </w:p>
    <w:p w14:paraId="04EBC54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忽略的单项物质流或单元过程对环境影响的贡献均不得超过 1%</w:t>
      </w:r>
      <w:r>
        <w:rPr>
          <w:rFonts w:hint="eastAsia" w:ascii="Times New Roman" w:hAnsi="Times New Roman" w:eastAsia="宋体" w:cs="Times New Roman"/>
          <w:spacing w:val="1"/>
          <w:position w:val="17"/>
          <w:sz w:val="24"/>
          <w:szCs w:val="24"/>
          <w:lang w:val="en-US" w:eastAsia="zh-CN"/>
        </w:rPr>
        <w:t xml:space="preserve">，且对环境 影响贡献总和不超过 </w:t>
      </w:r>
      <w:r>
        <w:rPr>
          <w:rFonts w:hint="default" w:ascii="Times New Roman" w:hAnsi="Times New Roman" w:eastAsia="宋体" w:cs="Times New Roman"/>
          <w:spacing w:val="1"/>
          <w:position w:val="17"/>
          <w:sz w:val="24"/>
          <w:szCs w:val="24"/>
          <w:lang w:val="en-US" w:eastAsia="zh-CN"/>
        </w:rPr>
        <w:t>5%</w:t>
      </w:r>
      <w:r>
        <w:rPr>
          <w:rFonts w:hint="eastAsia" w:ascii="Times New Roman" w:hAnsi="Times New Roman" w:eastAsia="宋体" w:cs="Times New Roman"/>
          <w:spacing w:val="1"/>
          <w:position w:val="17"/>
          <w:sz w:val="24"/>
          <w:szCs w:val="24"/>
          <w:lang w:val="en-US" w:eastAsia="zh-CN"/>
        </w:rPr>
        <w:t>。</w:t>
      </w:r>
    </w:p>
    <w:p w14:paraId="49557CBA">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3.1.3.4 时间范围</w:t>
      </w:r>
    </w:p>
    <w:p w14:paraId="10368BB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统计周期为</w:t>
      </w:r>
      <w:r>
        <w:rPr>
          <w:rFonts w:hint="eastAsia" w:ascii="Times New Roman" w:hAnsi="Times New Roman" w:eastAsia="宋体" w:cs="Times New Roman"/>
          <w:spacing w:val="1"/>
          <w:position w:val="17"/>
          <w:sz w:val="24"/>
          <w:szCs w:val="24"/>
          <w:lang w:val="en-US" w:eastAsia="zh-CN"/>
        </w:rPr>
        <w:t>2021年1月至2021年12月</w:t>
      </w:r>
      <w:r>
        <w:rPr>
          <w:rFonts w:hint="default" w:ascii="Times New Roman" w:hAnsi="Times New Roman" w:eastAsia="宋体" w:cs="Times New Roman"/>
          <w:spacing w:val="1"/>
          <w:position w:val="17"/>
          <w:sz w:val="24"/>
          <w:szCs w:val="24"/>
          <w:lang w:val="en-US" w:eastAsia="zh-CN"/>
        </w:rPr>
        <w:t>，连续</w:t>
      </w:r>
      <w:r>
        <w:rPr>
          <w:rFonts w:hint="eastAsia" w:ascii="Times New Roman" w:hAnsi="Times New Roman" w:eastAsia="宋体" w:cs="Times New Roman"/>
          <w:spacing w:val="1"/>
          <w:position w:val="17"/>
          <w:sz w:val="24"/>
          <w:szCs w:val="24"/>
          <w:lang w:val="en-US" w:eastAsia="zh-CN"/>
        </w:rPr>
        <w:t>12</w:t>
      </w:r>
      <w:r>
        <w:rPr>
          <w:rFonts w:hint="default" w:ascii="Times New Roman" w:hAnsi="Times New Roman" w:eastAsia="宋体" w:cs="Times New Roman"/>
          <w:spacing w:val="1"/>
          <w:position w:val="17"/>
          <w:sz w:val="24"/>
          <w:szCs w:val="24"/>
          <w:lang w:val="en-US" w:eastAsia="zh-CN"/>
        </w:rPr>
        <w:t>个月。</w:t>
      </w:r>
    </w:p>
    <w:p w14:paraId="6FA1575B">
      <w:pPr>
        <w:keepNext w:val="0"/>
        <w:keepLines w:val="0"/>
        <w:pageBreakBefore w:val="0"/>
        <w:widowControl/>
        <w:kinsoku w:val="0"/>
        <w:wordWrap/>
        <w:overflowPunct/>
        <w:topLinePunct w:val="0"/>
        <w:autoSpaceDE w:val="0"/>
        <w:autoSpaceDN w:val="0"/>
        <w:bidi w:val="0"/>
        <w:adjustRightInd w:val="0"/>
        <w:snapToGrid w:val="0"/>
        <w:spacing w:before="6" w:after="0" w:afterLines="30" w:line="360" w:lineRule="auto"/>
        <w:ind w:left="0"/>
        <w:jc w:val="both"/>
        <w:textAlignment w:val="baseline"/>
        <w:outlineLvl w:val="2"/>
        <w:rPr>
          <w:rFonts w:hint="default" w:ascii="Times New Roman" w:hAnsi="Times New Roman" w:eastAsia="Times New Roman" w:cs="Times New Roman"/>
          <w:b w:val="0"/>
          <w:bCs w:val="0"/>
          <w:spacing w:val="-1"/>
          <w:sz w:val="24"/>
          <w:szCs w:val="24"/>
          <w:lang w:val="en-US" w:eastAsia="zh-CN"/>
        </w:rPr>
      </w:pPr>
      <w:r>
        <w:rPr>
          <w:rFonts w:hint="eastAsia" w:ascii="Times New Roman" w:hAnsi="Times New Roman" w:eastAsia="Times New Roman" w:cs="Times New Roman"/>
          <w:b w:val="0"/>
          <w:bCs w:val="0"/>
          <w:spacing w:val="-1"/>
          <w:sz w:val="24"/>
          <w:szCs w:val="24"/>
          <w:lang w:val="en-US" w:eastAsia="zh-CN"/>
        </w:rPr>
        <w:t xml:space="preserve">3.1.4 </w:t>
      </w:r>
      <w:r>
        <w:rPr>
          <w:rFonts w:hint="default" w:ascii="Times New Roman" w:hAnsi="Times New Roman" w:eastAsia="Times New Roman" w:cs="Times New Roman"/>
          <w:b w:val="0"/>
          <w:bCs w:val="0"/>
          <w:spacing w:val="-1"/>
          <w:sz w:val="24"/>
          <w:szCs w:val="24"/>
          <w:lang w:val="en-US" w:eastAsia="zh-CN"/>
        </w:rPr>
        <w:t>清单分析</w:t>
      </w:r>
      <w:bookmarkEnd w:id="13"/>
      <w:bookmarkEnd w:id="14"/>
    </w:p>
    <w:p w14:paraId="164F4E1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lang w:val="en-US" w:eastAsia="zh-CN"/>
        </w:rPr>
      </w:pPr>
      <w:r>
        <w:rPr>
          <w:rFonts w:hint="default" w:ascii="Times New Roman" w:hAnsi="Times New Roman" w:eastAsia="宋体" w:cs="Times New Roman"/>
          <w:spacing w:val="1"/>
          <w:position w:val="17"/>
          <w:sz w:val="24"/>
          <w:szCs w:val="24"/>
          <w:lang w:val="en-US" w:eastAsia="zh-CN"/>
        </w:rPr>
        <w:t>企业现场数据包括</w:t>
      </w:r>
      <w:r>
        <w:rPr>
          <w:rFonts w:hint="eastAsia" w:ascii="Times New Roman" w:hAnsi="Times New Roman" w:eastAsia="宋体" w:cs="Times New Roman"/>
          <w:spacing w:val="1"/>
          <w:position w:val="17"/>
          <w:sz w:val="24"/>
          <w:szCs w:val="24"/>
          <w:lang w:val="en-US" w:eastAsia="zh-CN"/>
        </w:rPr>
        <w:t>阀门</w:t>
      </w:r>
      <w:r>
        <w:rPr>
          <w:rFonts w:hint="default" w:ascii="Times New Roman" w:hAnsi="Times New Roman" w:eastAsia="宋体" w:cs="Times New Roman"/>
          <w:spacing w:val="1"/>
          <w:position w:val="17"/>
          <w:sz w:val="24"/>
          <w:szCs w:val="24"/>
          <w:lang w:val="en-US" w:eastAsia="zh-CN"/>
        </w:rPr>
        <w:t>产品生产阶段的原材料消耗、能源消耗、直接温室气体排放以及运输数据（运输方式、距离、运输量）等，现场数据采集来源于生产相关数据，数据统计时间周期为202</w:t>
      </w:r>
      <w:r>
        <w:rPr>
          <w:rFonts w:hint="eastAsia" w:ascii="Times New Roman" w:hAnsi="Times New Roman" w:eastAsia="宋体" w:cs="Times New Roman"/>
          <w:spacing w:val="1"/>
          <w:position w:val="17"/>
          <w:sz w:val="24"/>
          <w:szCs w:val="24"/>
          <w:lang w:val="en-US" w:eastAsia="zh-CN"/>
        </w:rPr>
        <w:t>4</w:t>
      </w:r>
      <w:r>
        <w:rPr>
          <w:rFonts w:hint="default" w:ascii="Times New Roman" w:hAnsi="Times New Roman" w:eastAsia="宋体" w:cs="Times New Roman"/>
          <w:spacing w:val="1"/>
          <w:position w:val="17"/>
          <w:sz w:val="24"/>
          <w:szCs w:val="24"/>
          <w:lang w:val="en-US" w:eastAsia="zh-CN"/>
        </w:rPr>
        <w:t>年01月至202</w:t>
      </w:r>
      <w:r>
        <w:rPr>
          <w:rFonts w:hint="eastAsia" w:ascii="Times New Roman" w:hAnsi="Times New Roman" w:eastAsia="宋体" w:cs="Times New Roman"/>
          <w:spacing w:val="1"/>
          <w:position w:val="17"/>
          <w:sz w:val="24"/>
          <w:szCs w:val="24"/>
          <w:lang w:val="en-US" w:eastAsia="zh-CN"/>
        </w:rPr>
        <w:t>4</w:t>
      </w:r>
      <w:r>
        <w:rPr>
          <w:rFonts w:hint="default" w:ascii="Times New Roman" w:hAnsi="Times New Roman" w:eastAsia="宋体" w:cs="Times New Roman"/>
          <w:spacing w:val="1"/>
          <w:position w:val="17"/>
          <w:sz w:val="24"/>
          <w:szCs w:val="24"/>
          <w:lang w:val="en-US" w:eastAsia="zh-CN"/>
        </w:rPr>
        <w:t>年12月（共1个自然年），数据真实有效。其中，产品产量、原材料消耗与能源消耗数据取自《原辅材料使用统计表》；原材料的运输距离根据产地估算得到（同种原料来自多个不同产地根据质量加权平均计算运输距离）；直接温室气体排放方面，根据企业生产用化石能源的消耗量、缺省热值（取自中国能源统计年鉴）与排放因子（取自IPCC）估算。采集到的数据以功能单位进行核算。</w:t>
      </w:r>
    </w:p>
    <w:p w14:paraId="57D38D1B">
      <w:pPr>
        <w:keepNext w:val="0"/>
        <w:keepLines w:val="0"/>
        <w:pageBreakBefore w:val="0"/>
        <w:widowControl/>
        <w:kinsoku w:val="0"/>
        <w:wordWrap/>
        <w:overflowPunct/>
        <w:topLinePunct w:val="0"/>
        <w:autoSpaceDE w:val="0"/>
        <w:autoSpaceDN w:val="0"/>
        <w:bidi w:val="0"/>
        <w:adjustRightInd w:val="0"/>
        <w:snapToGrid w:val="0"/>
        <w:spacing w:before="6" w:after="0" w:afterLines="30" w:line="360" w:lineRule="auto"/>
        <w:ind w:left="0"/>
        <w:jc w:val="both"/>
        <w:textAlignment w:val="baseline"/>
        <w:outlineLvl w:val="2"/>
        <w:rPr>
          <w:rFonts w:hint="default" w:ascii="Times New Roman" w:hAnsi="Times New Roman" w:eastAsia="Times New Roman" w:cs="Times New Roman"/>
          <w:b w:val="0"/>
          <w:bCs w:val="0"/>
          <w:spacing w:val="-1"/>
          <w:sz w:val="24"/>
          <w:szCs w:val="24"/>
          <w:lang w:val="en-US" w:eastAsia="zh-CN"/>
        </w:rPr>
      </w:pPr>
      <w:r>
        <w:rPr>
          <w:rFonts w:hint="eastAsia" w:ascii="Times New Roman" w:hAnsi="Times New Roman" w:eastAsia="Times New Roman" w:cs="Times New Roman"/>
          <w:b w:val="0"/>
          <w:bCs w:val="0"/>
          <w:spacing w:val="-1"/>
          <w:sz w:val="24"/>
          <w:szCs w:val="24"/>
          <w:lang w:val="en-US" w:eastAsia="zh-CN"/>
        </w:rPr>
        <w:t xml:space="preserve">3.1.4.1 </w:t>
      </w:r>
      <w:bookmarkStart w:id="15" w:name="_Hlk514410702"/>
      <w:r>
        <w:rPr>
          <w:rFonts w:hint="eastAsia" w:ascii="Times New Roman" w:hAnsi="Times New Roman" w:eastAsia="Times New Roman" w:cs="Times New Roman"/>
          <w:b w:val="0"/>
          <w:bCs w:val="0"/>
          <w:spacing w:val="-1"/>
          <w:sz w:val="24"/>
          <w:szCs w:val="24"/>
          <w:lang w:val="en-US" w:eastAsia="zh-CN"/>
        </w:rPr>
        <w:t>数据来源说明</w:t>
      </w:r>
    </w:p>
    <w:p w14:paraId="752A235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1）初级数据的收集和确认</w:t>
      </w:r>
    </w:p>
    <w:bookmarkEnd w:id="15"/>
    <w:p w14:paraId="7294681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ascii="Times New Roman" w:hAnsi="Times New Roman" w:eastAsia="宋体" w:cs="Times New Roman"/>
          <w:spacing w:val="1"/>
          <w:position w:val="17"/>
          <w:sz w:val="24"/>
          <w:szCs w:val="24"/>
          <w:lang w:val="en-US" w:eastAsia="zh-CN"/>
        </w:rPr>
      </w:pPr>
      <w:bookmarkStart w:id="16" w:name="_Toc70255181"/>
      <w:r>
        <w:rPr>
          <w:rFonts w:hint="default" w:ascii="Times New Roman" w:hAnsi="Times New Roman" w:eastAsia="宋体" w:cs="Times New Roman"/>
          <w:spacing w:val="1"/>
          <w:position w:val="17"/>
          <w:sz w:val="24"/>
          <w:szCs w:val="24"/>
          <w:lang w:val="en-US" w:eastAsia="zh-CN"/>
        </w:rPr>
        <w:t>企业现场数据包括生产阶段的原材料消耗、能源消耗、污染物排放以及运输数据（运输方式、距离、运输量）等，统计周期为连续</w:t>
      </w:r>
      <w:r>
        <w:rPr>
          <w:rFonts w:hint="eastAsia" w:ascii="Times New Roman" w:hAnsi="Times New Roman" w:eastAsia="宋体" w:cs="Times New Roman"/>
          <w:spacing w:val="1"/>
          <w:position w:val="17"/>
          <w:sz w:val="24"/>
          <w:szCs w:val="24"/>
          <w:lang w:val="en-US" w:eastAsia="zh-CN"/>
        </w:rPr>
        <w:t>12</w:t>
      </w:r>
      <w:r>
        <w:rPr>
          <w:rFonts w:hint="default" w:ascii="Times New Roman" w:hAnsi="Times New Roman" w:eastAsia="宋体" w:cs="Times New Roman"/>
          <w:spacing w:val="1"/>
          <w:position w:val="17"/>
          <w:sz w:val="24"/>
          <w:szCs w:val="24"/>
          <w:lang w:val="en-US" w:eastAsia="zh-CN"/>
        </w:rPr>
        <w:t>个月。现场数据通过对</w:t>
      </w:r>
      <w:r>
        <w:rPr>
          <w:rFonts w:hint="eastAsia" w:ascii="Times New Roman" w:hAnsi="Times New Roman" w:eastAsia="宋体" w:cs="Times New Roman"/>
          <w:spacing w:val="1"/>
          <w:position w:val="17"/>
          <w:sz w:val="24"/>
          <w:szCs w:val="24"/>
          <w:lang w:val="en-US" w:eastAsia="zh-CN"/>
        </w:rPr>
        <w:t>远大阀门集团有限公司</w:t>
      </w:r>
      <w:r>
        <w:rPr>
          <w:rFonts w:hint="default" w:ascii="Times New Roman" w:hAnsi="Times New Roman" w:eastAsia="宋体" w:cs="Times New Roman"/>
          <w:spacing w:val="1"/>
          <w:position w:val="17"/>
          <w:sz w:val="24"/>
          <w:szCs w:val="24"/>
          <w:lang w:val="en-US" w:eastAsia="zh-CN"/>
        </w:rPr>
        <w:t>生产现场调研方式获取</w:t>
      </w:r>
      <w:r>
        <w:rPr>
          <w:rFonts w:hint="eastAsia" w:ascii="Times New Roman" w:hAnsi="Times New Roman" w:eastAsia="宋体" w:cs="Times New Roman"/>
          <w:spacing w:val="1"/>
          <w:position w:val="17"/>
          <w:sz w:val="24"/>
          <w:szCs w:val="24"/>
          <w:lang w:val="en-US" w:eastAsia="zh-CN"/>
        </w:rPr>
        <w:t>，</w:t>
      </w:r>
      <w:r>
        <w:rPr>
          <w:rFonts w:hint="default" w:ascii="Times New Roman" w:hAnsi="Times New Roman" w:eastAsia="宋体" w:cs="Times New Roman"/>
          <w:spacing w:val="1"/>
          <w:position w:val="17"/>
          <w:sz w:val="24"/>
          <w:szCs w:val="24"/>
          <w:lang w:val="en-US" w:eastAsia="zh-CN"/>
        </w:rPr>
        <w:t>现场数据来源见表</w:t>
      </w:r>
      <w:r>
        <w:rPr>
          <w:rFonts w:hint="eastAsia" w:ascii="Times New Roman" w:hAnsi="Times New Roman" w:eastAsia="宋体" w:cs="Times New Roman"/>
          <w:spacing w:val="1"/>
          <w:position w:val="17"/>
          <w:sz w:val="24"/>
          <w:szCs w:val="24"/>
          <w:lang w:val="en-US" w:eastAsia="zh-CN"/>
        </w:rPr>
        <w:t>2</w:t>
      </w:r>
      <w:r>
        <w:rPr>
          <w:rFonts w:hint="default" w:ascii="Times New Roman" w:hAnsi="Times New Roman" w:eastAsia="宋体" w:cs="Times New Roman"/>
          <w:spacing w:val="1"/>
          <w:position w:val="17"/>
          <w:sz w:val="24"/>
          <w:szCs w:val="24"/>
          <w:lang w:val="en-US" w:eastAsia="zh-CN"/>
        </w:rPr>
        <w:t>。</w:t>
      </w:r>
    </w:p>
    <w:p w14:paraId="3883CC9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default"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表</w:t>
      </w:r>
      <w:r>
        <w:rPr>
          <w:rFonts w:hint="eastAsia" w:ascii="Times New Roman" w:hAnsi="Times New Roman" w:eastAsia="宋体" w:cs="Times New Roman"/>
          <w:spacing w:val="1"/>
          <w:position w:val="17"/>
          <w:sz w:val="24"/>
          <w:szCs w:val="24"/>
          <w:lang w:val="en-US" w:eastAsia="zh-CN"/>
        </w:rPr>
        <w:t>2</w:t>
      </w:r>
      <w:r>
        <w:rPr>
          <w:rFonts w:hint="default" w:ascii="Times New Roman" w:hAnsi="Times New Roman" w:eastAsia="宋体" w:cs="Times New Roman"/>
          <w:spacing w:val="1"/>
          <w:position w:val="17"/>
          <w:sz w:val="24"/>
          <w:szCs w:val="24"/>
          <w:lang w:val="en-US" w:eastAsia="zh-CN"/>
        </w:rPr>
        <w:t xml:space="preserve"> 现场数据来源</w:t>
      </w:r>
    </w:p>
    <w:tbl>
      <w:tblPr>
        <w:tblStyle w:val="1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01"/>
        <w:gridCol w:w="5437"/>
      </w:tblGrid>
      <w:tr w14:paraId="3186A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gridSpan w:val="2"/>
          </w:tcPr>
          <w:p w14:paraId="6224EC27">
            <w:pPr>
              <w:widowControl w:val="0"/>
              <w:spacing w:line="240" w:lineRule="auto"/>
              <w:ind w:firstLine="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项目</w:t>
            </w:r>
          </w:p>
        </w:tc>
        <w:tc>
          <w:tcPr>
            <w:tcW w:w="5437" w:type="dxa"/>
          </w:tcPr>
          <w:p w14:paraId="4677EC1C">
            <w:pPr>
              <w:widowControl w:val="0"/>
              <w:spacing w:line="240" w:lineRule="auto"/>
              <w:ind w:firstLine="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来源</w:t>
            </w:r>
          </w:p>
        </w:tc>
      </w:tr>
      <w:tr w14:paraId="0431D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gridSpan w:val="2"/>
          </w:tcPr>
          <w:p w14:paraId="2341A383">
            <w:pPr>
              <w:widowControl w:val="0"/>
              <w:spacing w:line="240" w:lineRule="auto"/>
              <w:ind w:firstLine="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产品产量</w:t>
            </w:r>
          </w:p>
        </w:tc>
        <w:tc>
          <w:tcPr>
            <w:tcW w:w="5437" w:type="dxa"/>
          </w:tcPr>
          <w:p w14:paraId="473BAE95">
            <w:pPr>
              <w:widowControl w:val="0"/>
              <w:spacing w:line="240" w:lineRule="auto"/>
              <w:ind w:firstLine="0"/>
              <w:rPr>
                <w:rFonts w:hint="eastAsia" w:ascii="宋体" w:hAnsi="宋体" w:eastAsia="宋体" w:cs="宋体"/>
                <w:sz w:val="24"/>
                <w:szCs w:val="24"/>
                <w:highlight w:val="none"/>
              </w:rPr>
            </w:pPr>
            <w:r>
              <w:rPr>
                <w:rFonts w:hint="eastAsia" w:ascii="宋体" w:hAnsi="宋体" w:eastAsia="宋体" w:cs="宋体"/>
                <w:sz w:val="24"/>
                <w:szCs w:val="24"/>
                <w:highlight w:val="none"/>
              </w:rPr>
              <w:t>企业生产报表</w:t>
            </w:r>
          </w:p>
        </w:tc>
      </w:tr>
      <w:tr w14:paraId="49CB7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gridSpan w:val="2"/>
          </w:tcPr>
          <w:p w14:paraId="59704F26">
            <w:pPr>
              <w:widowControl w:val="0"/>
              <w:spacing w:line="240" w:lineRule="auto"/>
              <w:ind w:firstLine="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原材料消耗</w:t>
            </w:r>
          </w:p>
        </w:tc>
        <w:tc>
          <w:tcPr>
            <w:tcW w:w="5437" w:type="dxa"/>
          </w:tcPr>
          <w:p w14:paraId="789D90FE">
            <w:pPr>
              <w:widowControl w:val="0"/>
              <w:spacing w:line="240" w:lineRule="auto"/>
              <w:ind w:firstLine="0"/>
              <w:rPr>
                <w:rFonts w:hint="eastAsia" w:ascii="宋体" w:hAnsi="宋体" w:eastAsia="宋体" w:cs="宋体"/>
                <w:sz w:val="24"/>
                <w:szCs w:val="24"/>
                <w:highlight w:val="none"/>
              </w:rPr>
            </w:pPr>
            <w:r>
              <w:rPr>
                <w:rFonts w:hint="eastAsia" w:ascii="宋体" w:hAnsi="宋体" w:eastAsia="宋体" w:cs="宋体"/>
                <w:sz w:val="24"/>
                <w:szCs w:val="24"/>
                <w:highlight w:val="none"/>
              </w:rPr>
              <w:t>企业生产报表</w:t>
            </w:r>
          </w:p>
        </w:tc>
      </w:tr>
      <w:tr w14:paraId="51810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gridSpan w:val="2"/>
          </w:tcPr>
          <w:p w14:paraId="49DD6FD3">
            <w:pPr>
              <w:widowControl w:val="0"/>
              <w:spacing w:line="240" w:lineRule="auto"/>
              <w:ind w:firstLine="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能源消耗</w:t>
            </w:r>
          </w:p>
        </w:tc>
        <w:tc>
          <w:tcPr>
            <w:tcW w:w="5437" w:type="dxa"/>
          </w:tcPr>
          <w:p w14:paraId="71EE8945">
            <w:pPr>
              <w:widowControl w:val="0"/>
              <w:spacing w:line="240" w:lineRule="auto"/>
              <w:ind w:firstLine="0"/>
              <w:rPr>
                <w:rFonts w:hint="eastAsia" w:ascii="宋体" w:hAnsi="宋体" w:eastAsia="宋体" w:cs="宋体"/>
                <w:sz w:val="24"/>
                <w:szCs w:val="24"/>
                <w:highlight w:val="none"/>
              </w:rPr>
            </w:pPr>
            <w:r>
              <w:rPr>
                <w:rFonts w:hint="eastAsia" w:ascii="宋体" w:hAnsi="宋体" w:eastAsia="宋体" w:cs="宋体"/>
                <w:sz w:val="24"/>
                <w:szCs w:val="24"/>
                <w:highlight w:val="none"/>
              </w:rPr>
              <w:t>企业生产报表</w:t>
            </w:r>
          </w:p>
        </w:tc>
      </w:tr>
      <w:tr w14:paraId="04313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gridSpan w:val="2"/>
          </w:tcPr>
          <w:p w14:paraId="6176C7C2">
            <w:pPr>
              <w:widowControl w:val="0"/>
              <w:spacing w:line="240" w:lineRule="auto"/>
              <w:ind w:firstLine="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原材料、能源运输距离</w:t>
            </w:r>
          </w:p>
        </w:tc>
        <w:tc>
          <w:tcPr>
            <w:tcW w:w="5437" w:type="dxa"/>
          </w:tcPr>
          <w:p w14:paraId="351A3B2C">
            <w:pPr>
              <w:widowControl w:val="0"/>
              <w:spacing w:line="240" w:lineRule="auto"/>
              <w:ind w:firstLine="0"/>
              <w:rPr>
                <w:rFonts w:hint="eastAsia" w:ascii="宋体" w:hAnsi="宋体" w:eastAsia="宋体" w:cs="宋体"/>
                <w:sz w:val="24"/>
                <w:szCs w:val="24"/>
                <w:highlight w:val="none"/>
              </w:rPr>
            </w:pPr>
            <w:r>
              <w:rPr>
                <w:rFonts w:hint="eastAsia" w:ascii="宋体" w:hAnsi="宋体" w:eastAsia="宋体" w:cs="宋体"/>
                <w:sz w:val="24"/>
                <w:szCs w:val="24"/>
                <w:highlight w:val="none"/>
              </w:rPr>
              <w:t>根据其产地估算</w:t>
            </w:r>
          </w:p>
        </w:tc>
      </w:tr>
      <w:tr w14:paraId="43F7E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Merge w:val="restart"/>
            <w:vAlign w:val="center"/>
          </w:tcPr>
          <w:p w14:paraId="3E970699">
            <w:pPr>
              <w:widowControl w:val="0"/>
              <w:spacing w:line="240" w:lineRule="auto"/>
              <w:ind w:firstLine="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温室气体</w:t>
            </w:r>
          </w:p>
        </w:tc>
        <w:tc>
          <w:tcPr>
            <w:tcW w:w="1701" w:type="dxa"/>
          </w:tcPr>
          <w:p w14:paraId="49A307A6">
            <w:pPr>
              <w:widowControl w:val="0"/>
              <w:spacing w:line="240" w:lineRule="auto"/>
              <w:ind w:firstLine="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二氧化碳</w:t>
            </w:r>
          </w:p>
        </w:tc>
        <w:tc>
          <w:tcPr>
            <w:tcW w:w="5437" w:type="dxa"/>
            <w:vMerge w:val="restart"/>
          </w:tcPr>
          <w:p w14:paraId="735DE3C2">
            <w:pPr>
              <w:widowControl w:val="0"/>
              <w:spacing w:line="240" w:lineRule="auto"/>
              <w:ind w:firstLine="0"/>
              <w:rPr>
                <w:rFonts w:hint="eastAsia" w:ascii="宋体" w:hAnsi="宋体" w:eastAsia="宋体" w:cs="宋体"/>
                <w:sz w:val="24"/>
                <w:szCs w:val="24"/>
                <w:highlight w:val="none"/>
              </w:rPr>
            </w:pPr>
            <w:r>
              <w:rPr>
                <w:rFonts w:hint="eastAsia" w:ascii="宋体" w:hAnsi="宋体" w:eastAsia="宋体" w:cs="宋体"/>
                <w:sz w:val="24"/>
                <w:szCs w:val="24"/>
                <w:highlight w:val="none"/>
              </w:rPr>
              <w:t>根据生产用化石能源的消耗量、缺省热值（取自中国能源统计年鉴）与排放因子（取自IPCC报告）估算</w:t>
            </w:r>
          </w:p>
        </w:tc>
      </w:tr>
      <w:tr w14:paraId="319A9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Merge w:val="continue"/>
          </w:tcPr>
          <w:p w14:paraId="022381C2">
            <w:pPr>
              <w:widowControl w:val="0"/>
              <w:spacing w:line="240" w:lineRule="auto"/>
              <w:ind w:firstLine="0"/>
              <w:jc w:val="center"/>
              <w:rPr>
                <w:rFonts w:hint="eastAsia" w:ascii="宋体" w:hAnsi="宋体" w:eastAsia="宋体" w:cs="宋体"/>
                <w:sz w:val="24"/>
                <w:szCs w:val="24"/>
              </w:rPr>
            </w:pPr>
          </w:p>
        </w:tc>
        <w:tc>
          <w:tcPr>
            <w:tcW w:w="1701" w:type="dxa"/>
            <w:vAlign w:val="center"/>
          </w:tcPr>
          <w:p w14:paraId="16063BFC">
            <w:pPr>
              <w:widowControl w:val="0"/>
              <w:spacing w:line="240" w:lineRule="auto"/>
              <w:ind w:firstLine="0"/>
              <w:jc w:val="center"/>
              <w:rPr>
                <w:rFonts w:hint="eastAsia" w:ascii="宋体" w:hAnsi="宋体" w:eastAsia="宋体" w:cs="宋体"/>
                <w:sz w:val="24"/>
                <w:szCs w:val="24"/>
              </w:rPr>
            </w:pPr>
            <w:r>
              <w:rPr>
                <w:rFonts w:hint="eastAsia" w:ascii="宋体" w:hAnsi="宋体" w:eastAsia="宋体" w:cs="宋体"/>
                <w:sz w:val="24"/>
                <w:szCs w:val="24"/>
              </w:rPr>
              <w:t>其他温室气体</w:t>
            </w:r>
          </w:p>
        </w:tc>
        <w:tc>
          <w:tcPr>
            <w:tcW w:w="5437" w:type="dxa"/>
            <w:vMerge w:val="continue"/>
          </w:tcPr>
          <w:p w14:paraId="1952E656">
            <w:pPr>
              <w:widowControl w:val="0"/>
              <w:spacing w:line="240" w:lineRule="auto"/>
              <w:ind w:firstLine="0"/>
              <w:rPr>
                <w:rFonts w:hint="eastAsia" w:ascii="宋体" w:hAnsi="宋体" w:eastAsia="宋体" w:cs="宋体"/>
                <w:sz w:val="24"/>
                <w:szCs w:val="24"/>
              </w:rPr>
            </w:pPr>
          </w:p>
        </w:tc>
      </w:tr>
    </w:tbl>
    <w:p w14:paraId="13CF512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2）次级</w:t>
      </w:r>
      <w:r>
        <w:rPr>
          <w:rFonts w:hint="default" w:ascii="Times New Roman" w:hAnsi="Times New Roman" w:eastAsia="宋体" w:cs="Times New Roman"/>
          <w:spacing w:val="1"/>
          <w:position w:val="17"/>
          <w:sz w:val="24"/>
          <w:szCs w:val="24"/>
          <w:lang w:val="en-US" w:eastAsia="zh-CN"/>
        </w:rPr>
        <w:t>数据</w:t>
      </w:r>
      <w:r>
        <w:rPr>
          <w:rFonts w:hint="eastAsia" w:ascii="Times New Roman" w:hAnsi="Times New Roman" w:eastAsia="宋体" w:cs="Times New Roman"/>
          <w:spacing w:val="1"/>
          <w:position w:val="17"/>
          <w:sz w:val="24"/>
          <w:szCs w:val="24"/>
          <w:lang w:val="en-US" w:eastAsia="zh-CN"/>
        </w:rPr>
        <w:t>的收集</w:t>
      </w:r>
    </w:p>
    <w:p w14:paraId="77959CF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lang w:val="en-US" w:eastAsia="zh-CN"/>
        </w:rPr>
      </w:pPr>
      <w:bookmarkStart w:id="17" w:name="_Hlk514410736"/>
      <w:r>
        <w:rPr>
          <w:rFonts w:hint="eastAsia" w:ascii="Times New Roman" w:hAnsi="Times New Roman" w:eastAsia="宋体" w:cs="Times New Roman"/>
          <w:spacing w:val="1"/>
          <w:position w:val="17"/>
          <w:sz w:val="24"/>
          <w:szCs w:val="24"/>
          <w:lang w:val="en-US" w:eastAsia="zh-CN"/>
        </w:rPr>
        <w:t>次级</w:t>
      </w:r>
      <w:r>
        <w:rPr>
          <w:rFonts w:hint="default" w:ascii="Times New Roman" w:hAnsi="Times New Roman" w:eastAsia="宋体" w:cs="Times New Roman"/>
          <w:spacing w:val="1"/>
          <w:position w:val="17"/>
          <w:sz w:val="24"/>
          <w:szCs w:val="24"/>
          <w:lang w:val="en-US" w:eastAsia="zh-CN"/>
        </w:rPr>
        <w:t>数据指企业运营边界外与产品生产相关的原材料获取、运输、能源生产等过程的资源、能源消耗与污染物排放数据。数据主要来源于欧洲Ecoinvent数据库。</w:t>
      </w:r>
      <w:bookmarkEnd w:id="17"/>
    </w:p>
    <w:bookmarkEnd w:id="16"/>
    <w:p w14:paraId="2C4FFDE3">
      <w:pPr>
        <w:keepNext w:val="0"/>
        <w:keepLines w:val="0"/>
        <w:pageBreakBefore w:val="0"/>
        <w:widowControl/>
        <w:kinsoku w:val="0"/>
        <w:wordWrap/>
        <w:overflowPunct/>
        <w:topLinePunct w:val="0"/>
        <w:autoSpaceDE w:val="0"/>
        <w:autoSpaceDN w:val="0"/>
        <w:bidi w:val="0"/>
        <w:adjustRightInd w:val="0"/>
        <w:snapToGrid w:val="0"/>
        <w:spacing w:before="6" w:after="0" w:afterLines="30" w:line="360" w:lineRule="auto"/>
        <w:ind w:left="0"/>
        <w:jc w:val="both"/>
        <w:textAlignment w:val="baseline"/>
        <w:outlineLvl w:val="2"/>
        <w:rPr>
          <w:rFonts w:hint="eastAsia" w:ascii="Times New Roman" w:hAnsi="Times New Roman" w:eastAsia="Times New Roman" w:cs="Times New Roman"/>
          <w:b w:val="0"/>
          <w:bCs w:val="0"/>
          <w:spacing w:val="-1"/>
          <w:sz w:val="24"/>
          <w:szCs w:val="24"/>
          <w:lang w:val="en-US" w:eastAsia="zh-CN"/>
        </w:rPr>
      </w:pPr>
      <w:bookmarkStart w:id="18" w:name="_Toc71142008"/>
      <w:bookmarkStart w:id="19" w:name="_Toc1693"/>
      <w:r>
        <w:rPr>
          <w:rFonts w:hint="eastAsia" w:ascii="Times New Roman" w:hAnsi="Times New Roman" w:eastAsia="Times New Roman" w:cs="Times New Roman"/>
          <w:b w:val="0"/>
          <w:bCs w:val="0"/>
          <w:spacing w:val="-1"/>
          <w:sz w:val="24"/>
          <w:szCs w:val="24"/>
          <w:lang w:val="en-US" w:eastAsia="zh-CN"/>
        </w:rPr>
        <w:t>3.1.4.2 清单结果及计算</w:t>
      </w:r>
    </w:p>
    <w:p w14:paraId="0DC236C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生命周期各个阶段碳排放计算说明见表3。</w:t>
      </w:r>
    </w:p>
    <w:p w14:paraId="7A2A2BFB">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Arial" w:hAnsi="Arial" w:eastAsia="Arial" w:cs="Arial"/>
          <w:snapToGrid w:val="0"/>
          <w:color w:val="000000"/>
          <w:kern w:val="0"/>
          <w:sz w:val="21"/>
          <w:szCs w:val="21"/>
          <w:lang w:val="en-US" w:eastAsia="zh-CN"/>
        </w:rPr>
      </w:pPr>
      <w:r>
        <w:rPr>
          <w:rFonts w:hint="eastAsia" w:ascii="Times New Roman" w:hAnsi="Times New Roman" w:eastAsia="宋体" w:cs="Times New Roman"/>
          <w:spacing w:val="1"/>
          <w:position w:val="17"/>
          <w:sz w:val="24"/>
          <w:szCs w:val="24"/>
          <w:lang w:val="en-US" w:eastAsia="zh-CN"/>
        </w:rPr>
        <w:t>表3  软密封闸阀产品生命周期碳排放清单说明</w:t>
      </w:r>
    </w:p>
    <w:tbl>
      <w:tblPr>
        <w:tblStyle w:val="14"/>
        <w:tblpPr w:leftFromText="180" w:rightFromText="180" w:vertAnchor="text" w:horzAnchor="page" w:tblpX="1148" w:tblpY="453"/>
        <w:tblOverlap w:val="never"/>
        <w:tblW w:w="963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90"/>
        <w:gridCol w:w="2230"/>
        <w:gridCol w:w="1089"/>
        <w:gridCol w:w="1111"/>
        <w:gridCol w:w="1103"/>
        <w:gridCol w:w="1390"/>
        <w:gridCol w:w="1720"/>
      </w:tblGrid>
      <w:tr w14:paraId="72045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48" w:hRule="atLeast"/>
        </w:trPr>
        <w:tc>
          <w:tcPr>
            <w:tcW w:w="990" w:type="dxa"/>
            <w:vMerge w:val="restart"/>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619FE974">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过程</w:t>
            </w:r>
          </w:p>
        </w:tc>
        <w:tc>
          <w:tcPr>
            <w:tcW w:w="22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FE42031">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项目</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52272EF">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CO</w:t>
            </w:r>
            <w:r>
              <w:rPr>
                <w:rFonts w:hint="default" w:ascii="Times New Roman" w:hAnsi="Times New Roman" w:eastAsia="仿宋" w:cs="Times New Roman"/>
                <w:i w:val="0"/>
                <w:color w:val="000000"/>
                <w:kern w:val="0"/>
                <w:sz w:val="21"/>
                <w:szCs w:val="21"/>
                <w:u w:val="none"/>
                <w:vertAlign w:val="subscript"/>
                <w:lang w:val="en-US" w:eastAsia="zh-CN" w:bidi="ar"/>
              </w:rPr>
              <w:t>2</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2F41C18">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N</w:t>
            </w:r>
            <w:r>
              <w:rPr>
                <w:rFonts w:hint="default" w:ascii="Times New Roman" w:hAnsi="Times New Roman" w:eastAsia="仿宋" w:cs="Times New Roman"/>
                <w:i w:val="0"/>
                <w:color w:val="000000"/>
                <w:kern w:val="0"/>
                <w:sz w:val="21"/>
                <w:szCs w:val="21"/>
                <w:u w:val="none"/>
                <w:vertAlign w:val="subscript"/>
                <w:lang w:val="en-US" w:eastAsia="zh-CN" w:bidi="ar"/>
              </w:rPr>
              <w:t>2</w:t>
            </w:r>
            <w:r>
              <w:rPr>
                <w:rFonts w:hint="default" w:ascii="Times New Roman" w:hAnsi="Times New Roman" w:eastAsia="仿宋" w:cs="Times New Roman"/>
                <w:i w:val="0"/>
                <w:color w:val="000000"/>
                <w:kern w:val="0"/>
                <w:sz w:val="21"/>
                <w:szCs w:val="21"/>
                <w:u w:val="none"/>
                <w:lang w:val="en-US" w:eastAsia="zh-CN" w:bidi="ar"/>
              </w:rPr>
              <w:t>O</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6838EA8">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CH</w:t>
            </w:r>
            <w:r>
              <w:rPr>
                <w:rFonts w:hint="default" w:ascii="Times New Roman" w:hAnsi="Times New Roman" w:eastAsia="仿宋" w:cs="Times New Roman"/>
                <w:i w:val="0"/>
                <w:color w:val="000000"/>
                <w:kern w:val="0"/>
                <w:sz w:val="21"/>
                <w:szCs w:val="21"/>
                <w:u w:val="none"/>
                <w:vertAlign w:val="subscript"/>
                <w:lang w:val="en-US" w:eastAsia="zh-CN" w:bidi="ar"/>
              </w:rPr>
              <w:t>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E53124C">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其他温室气体</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227A9AB">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温室气体排放总量</w:t>
            </w:r>
          </w:p>
        </w:tc>
      </w:tr>
      <w:tr w14:paraId="71305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48" w:hRule="atLeast"/>
        </w:trPr>
        <w:tc>
          <w:tcPr>
            <w:tcW w:w="990" w:type="dxa"/>
            <w:vMerge w:val="continue"/>
            <w:tcBorders>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0049EF6">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FD9A73B">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单位</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8C60251">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kg CO</w:t>
            </w:r>
            <w:r>
              <w:rPr>
                <w:rFonts w:hint="default" w:ascii="Times New Roman" w:hAnsi="Times New Roman" w:eastAsia="仿宋" w:cs="Times New Roman"/>
                <w:i w:val="0"/>
                <w:color w:val="000000"/>
                <w:kern w:val="0"/>
                <w:sz w:val="21"/>
                <w:szCs w:val="21"/>
                <w:u w:val="none"/>
                <w:vertAlign w:val="subscript"/>
                <w:lang w:val="en-US" w:eastAsia="zh-CN" w:bidi="ar"/>
              </w:rPr>
              <w:t>2</w:t>
            </w:r>
            <w:r>
              <w:rPr>
                <w:rFonts w:hint="default" w:ascii="Times New Roman" w:hAnsi="Times New Roman" w:eastAsia="仿宋" w:cs="Times New Roman"/>
                <w:i w:val="0"/>
                <w:color w:val="000000"/>
                <w:kern w:val="0"/>
                <w:sz w:val="21"/>
                <w:szCs w:val="21"/>
                <w:u w:val="none"/>
                <w:lang w:val="en-US" w:eastAsia="zh-CN" w:bidi="ar"/>
              </w:rPr>
              <w:t xml:space="preserve"> eq.</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EB3B6DA">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kg CO</w:t>
            </w:r>
            <w:r>
              <w:rPr>
                <w:rFonts w:hint="default" w:ascii="Times New Roman" w:hAnsi="Times New Roman" w:eastAsia="仿宋" w:cs="Times New Roman"/>
                <w:i w:val="0"/>
                <w:color w:val="000000"/>
                <w:kern w:val="0"/>
                <w:sz w:val="21"/>
                <w:szCs w:val="21"/>
                <w:u w:val="none"/>
                <w:vertAlign w:val="subscript"/>
                <w:lang w:val="en-US" w:eastAsia="zh-CN" w:bidi="ar"/>
              </w:rPr>
              <w:t>2</w:t>
            </w:r>
            <w:r>
              <w:rPr>
                <w:rFonts w:hint="default" w:ascii="Times New Roman" w:hAnsi="Times New Roman" w:eastAsia="仿宋" w:cs="Times New Roman"/>
                <w:i w:val="0"/>
                <w:color w:val="000000"/>
                <w:kern w:val="0"/>
                <w:sz w:val="21"/>
                <w:szCs w:val="21"/>
                <w:u w:val="none"/>
                <w:lang w:val="en-US" w:eastAsia="zh-CN" w:bidi="ar"/>
              </w:rPr>
              <w:t xml:space="preserve"> eq.</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5F97F3E">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kg CO</w:t>
            </w:r>
            <w:r>
              <w:rPr>
                <w:rFonts w:hint="default" w:ascii="Times New Roman" w:hAnsi="Times New Roman" w:eastAsia="仿宋" w:cs="Times New Roman"/>
                <w:i w:val="0"/>
                <w:color w:val="000000"/>
                <w:kern w:val="0"/>
                <w:sz w:val="21"/>
                <w:szCs w:val="21"/>
                <w:u w:val="none"/>
                <w:vertAlign w:val="subscript"/>
                <w:lang w:val="en-US" w:eastAsia="zh-CN" w:bidi="ar"/>
              </w:rPr>
              <w:t>2</w:t>
            </w:r>
            <w:r>
              <w:rPr>
                <w:rFonts w:hint="default" w:ascii="Times New Roman" w:hAnsi="Times New Roman" w:eastAsia="仿宋" w:cs="Times New Roman"/>
                <w:i w:val="0"/>
                <w:color w:val="000000"/>
                <w:kern w:val="0"/>
                <w:sz w:val="21"/>
                <w:szCs w:val="21"/>
                <w:u w:val="none"/>
                <w:lang w:val="en-US" w:eastAsia="zh-CN" w:bidi="ar"/>
              </w:rPr>
              <w:t xml:space="preserve"> eq.</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8673CE2">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kg CO</w:t>
            </w:r>
            <w:r>
              <w:rPr>
                <w:rFonts w:hint="default" w:ascii="Times New Roman" w:hAnsi="Times New Roman" w:eastAsia="仿宋" w:cs="Times New Roman"/>
                <w:i w:val="0"/>
                <w:color w:val="000000"/>
                <w:kern w:val="0"/>
                <w:sz w:val="21"/>
                <w:szCs w:val="21"/>
                <w:u w:val="none"/>
                <w:vertAlign w:val="subscript"/>
                <w:lang w:val="en-US" w:eastAsia="zh-CN" w:bidi="ar"/>
              </w:rPr>
              <w:t>2</w:t>
            </w:r>
            <w:r>
              <w:rPr>
                <w:rFonts w:hint="default" w:ascii="Times New Roman" w:hAnsi="Times New Roman" w:eastAsia="仿宋" w:cs="Times New Roman"/>
                <w:i w:val="0"/>
                <w:color w:val="000000"/>
                <w:kern w:val="0"/>
                <w:sz w:val="21"/>
                <w:szCs w:val="21"/>
                <w:u w:val="none"/>
                <w:lang w:val="en-US" w:eastAsia="zh-CN" w:bidi="ar"/>
              </w:rPr>
              <w:t xml:space="preserve"> eq.</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864AEB0">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kg CO</w:t>
            </w:r>
            <w:r>
              <w:rPr>
                <w:rFonts w:hint="default" w:ascii="Times New Roman" w:hAnsi="Times New Roman" w:eastAsia="仿宋" w:cs="Times New Roman"/>
                <w:i w:val="0"/>
                <w:color w:val="000000"/>
                <w:kern w:val="0"/>
                <w:sz w:val="21"/>
                <w:szCs w:val="21"/>
                <w:u w:val="none"/>
                <w:vertAlign w:val="subscript"/>
                <w:lang w:val="en-US" w:eastAsia="zh-CN" w:bidi="ar"/>
              </w:rPr>
              <w:t>2</w:t>
            </w:r>
            <w:r>
              <w:rPr>
                <w:rFonts w:hint="default" w:ascii="Times New Roman" w:hAnsi="Times New Roman" w:eastAsia="仿宋" w:cs="Times New Roman"/>
                <w:i w:val="0"/>
                <w:color w:val="000000"/>
                <w:kern w:val="0"/>
                <w:sz w:val="21"/>
                <w:szCs w:val="21"/>
                <w:u w:val="none"/>
                <w:lang w:val="en-US" w:eastAsia="zh-CN" w:bidi="ar"/>
              </w:rPr>
              <w:t xml:space="preserve"> eq.</w:t>
            </w:r>
          </w:p>
        </w:tc>
      </w:tr>
      <w:tr w14:paraId="1CCB5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5"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E899EF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产品生产</w:t>
            </w:r>
          </w:p>
        </w:tc>
        <w:tc>
          <w:tcPr>
            <w:tcW w:w="22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0B48BE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闸阀</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C34D25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0.00E+00</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B84AA9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0.00E+00</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C3EBF7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0.00E+00</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5F77B4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0.00E+00</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67B5BF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0.00E+00</w:t>
            </w:r>
          </w:p>
        </w:tc>
      </w:tr>
      <w:tr w14:paraId="35418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99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4B3102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原</w:t>
            </w:r>
            <w:r>
              <w:rPr>
                <w:rFonts w:hint="eastAsia" w:eastAsia="仿宋" w:cs="Times New Roman"/>
                <w:i w:val="0"/>
                <w:iCs w:val="0"/>
                <w:color w:val="000000"/>
                <w:kern w:val="0"/>
                <w:sz w:val="21"/>
                <w:szCs w:val="21"/>
                <w:u w:val="none"/>
                <w:lang w:val="en-US" w:eastAsia="zh-CN" w:bidi="ar"/>
              </w:rPr>
              <w:t>料</w:t>
            </w:r>
            <w:r>
              <w:rPr>
                <w:rFonts w:hint="default" w:ascii="Times New Roman" w:hAnsi="Times New Roman" w:eastAsia="仿宋" w:cs="Times New Roman"/>
                <w:i w:val="0"/>
                <w:iCs w:val="0"/>
                <w:color w:val="000000"/>
                <w:kern w:val="0"/>
                <w:sz w:val="21"/>
                <w:szCs w:val="21"/>
                <w:u w:val="none"/>
                <w:lang w:val="en-US" w:eastAsia="zh-CN" w:bidi="ar"/>
              </w:rPr>
              <w:t>生产</w:t>
            </w: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788F2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生铁</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99BDAE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7.56E-01</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644689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3.23E-03</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7B743E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1.13E-01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AF4017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1.44E-03</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BD4834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8.73E-01</w:t>
            </w:r>
          </w:p>
        </w:tc>
      </w:tr>
      <w:tr w14:paraId="31CF4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580EA5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AAC24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废钢</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F793C6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3.96E-02</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954C21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6.76E-04</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42906F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4.16E-03</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407EF4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2.49E-04</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5A62C7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4.46E-02</w:t>
            </w:r>
          </w:p>
        </w:tc>
      </w:tr>
      <w:tr w14:paraId="62EB9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F9D83E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F3DAD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硅铁</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F9A2B2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5.26E-03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ABE765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3.03E-05</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455E03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7.04E-04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1BC654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1.40E-05</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F95769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6.00E-03</w:t>
            </w:r>
          </w:p>
        </w:tc>
      </w:tr>
      <w:tr w14:paraId="28D9C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AC878A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2E649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锰铁</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3048C0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4.15E-03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BFCDC5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5.08E-05</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E904E6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3.39E-04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7C2A9E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1.78E-05</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B915D7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4.56E-03</w:t>
            </w:r>
          </w:p>
        </w:tc>
      </w:tr>
      <w:tr w14:paraId="61DD4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A49B2F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F5C81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闸板包胶/QT450</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883236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1.21E-01</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7BFC60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1.55E-03</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D16EA3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1.52E-02</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FD553E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3.60E-04</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F9458D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1.38E-01</w:t>
            </w:r>
          </w:p>
        </w:tc>
      </w:tr>
      <w:tr w14:paraId="36AE52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5FC694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F3FFB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闸板包胶/EPDM</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E56503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1.38E-02</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EB143E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1.77E-04</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6E60BE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1.73E-03</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C8DE9D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4.11E-05</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45B646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1.57E-02</w:t>
            </w:r>
          </w:p>
        </w:tc>
      </w:tr>
      <w:tr w14:paraId="0A8D1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48CCEC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234AD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仿宋" w:cs="Times New Roman"/>
                <w:i w:val="0"/>
                <w:iCs w:val="0"/>
                <w:color w:val="000000"/>
                <w:kern w:val="0"/>
                <w:sz w:val="21"/>
                <w:szCs w:val="21"/>
                <w:u w:val="none"/>
                <w:lang w:val="en-US" w:eastAsia="zh-CN" w:bidi="ar"/>
              </w:rPr>
            </w:pPr>
            <w:r>
              <w:rPr>
                <w:rFonts w:hint="eastAsia" w:ascii="Times New Roman" w:hAnsi="Times New Roman" w:eastAsia="仿宋" w:cs="Times New Roman"/>
                <w:i w:val="0"/>
                <w:iCs w:val="0"/>
                <w:color w:val="000000"/>
                <w:kern w:val="0"/>
                <w:sz w:val="21"/>
                <w:szCs w:val="21"/>
                <w:u w:val="none"/>
                <w:lang w:val="en-US" w:eastAsia="zh-CN" w:bidi="ar"/>
              </w:rPr>
              <w:t>阀杆</w:t>
            </w:r>
            <w:r>
              <w:rPr>
                <w:rFonts w:hint="default" w:ascii="Times New Roman" w:hAnsi="Times New Roman" w:eastAsia="仿宋" w:cs="Times New Roman"/>
                <w:i w:val="0"/>
                <w:iCs w:val="0"/>
                <w:color w:val="000000"/>
                <w:kern w:val="0"/>
                <w:sz w:val="21"/>
                <w:szCs w:val="21"/>
                <w:u w:val="none"/>
                <w:lang w:val="en-US" w:eastAsia="zh-CN" w:bidi="ar"/>
              </w:rPr>
              <w:t>/20Cr13</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0E9C84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7.58E-02</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26537E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5.97E-04</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117ED8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7.98E-03</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B45711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1.15E-04</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F3EC7F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8.44E-02</w:t>
            </w:r>
          </w:p>
        </w:tc>
      </w:tr>
      <w:tr w14:paraId="69744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A1165F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3761A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eastAsia" w:ascii="Times New Roman" w:hAnsi="Times New Roman" w:eastAsia="仿宋" w:cs="Times New Roman"/>
                <w:i w:val="0"/>
                <w:iCs w:val="0"/>
                <w:color w:val="000000"/>
                <w:kern w:val="0"/>
                <w:sz w:val="21"/>
                <w:szCs w:val="21"/>
                <w:u w:val="none"/>
                <w:lang w:val="en-US" w:eastAsia="zh-CN" w:bidi="ar"/>
              </w:rPr>
              <w:t>阀杆螺母</w:t>
            </w:r>
            <w:r>
              <w:rPr>
                <w:rFonts w:hint="default" w:ascii="Times New Roman" w:hAnsi="Times New Roman" w:eastAsia="仿宋" w:cs="Times New Roman"/>
                <w:i w:val="0"/>
                <w:iCs w:val="0"/>
                <w:color w:val="000000"/>
                <w:kern w:val="0"/>
                <w:sz w:val="21"/>
                <w:szCs w:val="21"/>
                <w:u w:val="none"/>
                <w:lang w:val="en-US" w:eastAsia="zh-CN" w:bidi="ar"/>
              </w:rPr>
              <w:t>/20Cr13</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81C437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3.29E-03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0197FE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2.59E-05</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5DA4C5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3.46E-04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B99DC5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4.97E-06</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47C700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3.67E-03</w:t>
            </w:r>
          </w:p>
        </w:tc>
      </w:tr>
      <w:tr w14:paraId="0B20C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96E077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E3985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eastAsia" w:ascii="Times New Roman" w:hAnsi="Times New Roman" w:eastAsia="仿宋" w:cs="Times New Roman"/>
                <w:i w:val="0"/>
                <w:iCs w:val="0"/>
                <w:color w:val="000000"/>
                <w:kern w:val="0"/>
                <w:sz w:val="21"/>
                <w:szCs w:val="21"/>
                <w:u w:val="none"/>
                <w:lang w:val="en-US" w:eastAsia="zh-CN" w:bidi="ar"/>
              </w:rPr>
              <w:t>中口螺栓</w:t>
            </w:r>
            <w:r>
              <w:rPr>
                <w:rFonts w:hint="default" w:ascii="Times New Roman" w:hAnsi="Times New Roman" w:eastAsia="仿宋" w:cs="Times New Roman"/>
                <w:i w:val="0"/>
                <w:iCs w:val="0"/>
                <w:color w:val="000000"/>
                <w:kern w:val="0"/>
                <w:sz w:val="21"/>
                <w:szCs w:val="21"/>
                <w:u w:val="none"/>
                <w:lang w:val="en-US" w:eastAsia="zh-CN" w:bidi="ar"/>
              </w:rPr>
              <w:t>/35#</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C7F9F1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3.14E-03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99243B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2.43E-05</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2CE313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3.72E-04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493419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7.65E-06</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A1CCB5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3.55E-03</w:t>
            </w:r>
          </w:p>
        </w:tc>
      </w:tr>
      <w:tr w14:paraId="36ACC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8A90BF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6E030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蒙古砂</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755554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1.10E-03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FCD427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9.65E-06</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AFD37D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5.38E-05</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522B6E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2.09E-06</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BA909C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1.17E-03</w:t>
            </w:r>
          </w:p>
        </w:tc>
      </w:tr>
      <w:tr w14:paraId="1B652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5FB1EC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C1853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铸元素</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A4015C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5.77E-03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7F86E8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5.69E-05</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FB42DC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3.25E-04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14CC34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1.04E-05</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FE918D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6.17E-03</w:t>
            </w:r>
          </w:p>
        </w:tc>
      </w:tr>
      <w:tr w14:paraId="02A2B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AEA06D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1BCA4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环保覆膜砂</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86BA79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3.25E-03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2716A9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2.85E-05</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964C75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1.59E-04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764D2E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6.17E-06</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277F12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3.44E-03</w:t>
            </w:r>
          </w:p>
        </w:tc>
      </w:tr>
      <w:tr w14:paraId="5DAE9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D3F675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3E3D4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塑粉/环氧树脂粉末涂料</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DFD2C9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5.17E-02</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FE7E00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2.84E-04</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DE78C3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9.99E-03</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5DC454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1.72E-04</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A24D5D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6.21E-02</w:t>
            </w:r>
          </w:p>
        </w:tc>
      </w:tr>
      <w:tr w14:paraId="6ADCF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BDF11D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4EF45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包装材料:纸箱</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3B0A68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5.37E-03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EAB1FB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1.56E-04</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479DD1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8.73E-04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A80128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1.31E-05</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211F26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6.41E-03</w:t>
            </w:r>
          </w:p>
        </w:tc>
      </w:tr>
      <w:tr w14:paraId="364FB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44EF7D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BE71A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包装材料:珍珠棉</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C3AD7B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2.98E-03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716899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1.87E-05</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7E90C1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6.80E-04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5BF48A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6.51E-06</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EADF95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3.69E-03</w:t>
            </w:r>
          </w:p>
        </w:tc>
      </w:tr>
      <w:tr w14:paraId="74DA6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7202AB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39606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包装材料：缠绕膜</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4684C3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1.92E-03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CFEE33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1.39E-05</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41BC34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3.83E-04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4EDBDB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5.18E-06</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B68D77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2.32E-03</w:t>
            </w:r>
          </w:p>
        </w:tc>
      </w:tr>
      <w:tr w14:paraId="388FA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990"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2A8546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eastAsia" w:ascii="Times New Roman" w:hAnsi="Times New Roman" w:eastAsia="仿宋" w:cs="Times New Roman"/>
                <w:i w:val="0"/>
                <w:iCs w:val="0"/>
                <w:color w:val="000000"/>
                <w:kern w:val="0"/>
                <w:sz w:val="21"/>
                <w:szCs w:val="21"/>
                <w:u w:val="none"/>
                <w:lang w:val="en-US" w:eastAsia="zh-CN" w:bidi="ar"/>
              </w:rPr>
              <w:t>能源生产</w:t>
            </w: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44490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电力</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7A131E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1.39E+00</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A422B5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1.60E-02</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34CF98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1.52E-01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9BF4D2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4.76E-04</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0E83F9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1.56E+00</w:t>
            </w:r>
          </w:p>
        </w:tc>
      </w:tr>
      <w:tr w14:paraId="5EA4E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990"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4029DC9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eastAsia" w:ascii="Times New Roman" w:hAnsi="Times New Roman" w:eastAsia="仿宋" w:cs="Times New Roman"/>
                <w:i w:val="0"/>
                <w:iCs w:val="0"/>
                <w:color w:val="000000"/>
                <w:kern w:val="0"/>
                <w:sz w:val="21"/>
                <w:szCs w:val="21"/>
                <w:u w:val="none"/>
                <w:lang w:val="en-US" w:eastAsia="zh-CN" w:bidi="ar"/>
              </w:rPr>
              <w:t>运输</w:t>
            </w: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20C6B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公路运输</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556775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7.39E-02</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09714D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5.43E-04</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764386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2.09E-03</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244559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6.16E-05</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59F71E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7.66E-02</w:t>
            </w:r>
          </w:p>
        </w:tc>
      </w:tr>
      <w:tr w14:paraId="7673A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4" w:hRule="atLeast"/>
        </w:trPr>
        <w:tc>
          <w:tcPr>
            <w:tcW w:w="7913"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FD77DE8">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每功能单位产品碳足迹</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0612DFE">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eastAsia" w:eastAsia="仿宋" w:cs="Times New Roman"/>
                <w:i w:val="0"/>
                <w:color w:val="000000"/>
                <w:kern w:val="0"/>
                <w:sz w:val="21"/>
                <w:szCs w:val="21"/>
                <w:u w:val="none"/>
                <w:lang w:val="en-US" w:eastAsia="zh-CN" w:bidi="ar"/>
              </w:rPr>
              <w:t>2.89</w:t>
            </w:r>
            <w:r>
              <w:rPr>
                <w:rFonts w:hint="default" w:ascii="Times New Roman" w:hAnsi="Times New Roman" w:eastAsia="仿宋" w:cs="Times New Roman"/>
                <w:i w:val="0"/>
                <w:color w:val="000000"/>
                <w:kern w:val="0"/>
                <w:sz w:val="21"/>
                <w:szCs w:val="21"/>
                <w:u w:val="none"/>
                <w:lang w:val="en-US" w:eastAsia="zh-CN" w:bidi="ar"/>
              </w:rPr>
              <w:t>E+0</w:t>
            </w:r>
            <w:r>
              <w:rPr>
                <w:rFonts w:hint="eastAsia" w:eastAsia="仿宋" w:cs="Times New Roman"/>
                <w:i w:val="0"/>
                <w:color w:val="000000"/>
                <w:kern w:val="0"/>
                <w:sz w:val="21"/>
                <w:szCs w:val="21"/>
                <w:u w:val="none"/>
                <w:lang w:val="en-US" w:eastAsia="zh-CN" w:bidi="ar"/>
              </w:rPr>
              <w:t>0</w:t>
            </w:r>
          </w:p>
        </w:tc>
      </w:tr>
    </w:tbl>
    <w:p w14:paraId="0491C1B8">
      <w:pPr>
        <w:keepNext w:val="0"/>
        <w:keepLines w:val="0"/>
        <w:pageBreakBefore w:val="0"/>
        <w:widowControl/>
        <w:kinsoku w:val="0"/>
        <w:wordWrap/>
        <w:overflowPunct/>
        <w:topLinePunct w:val="0"/>
        <w:autoSpaceDE w:val="0"/>
        <w:autoSpaceDN w:val="0"/>
        <w:bidi w:val="0"/>
        <w:adjustRightInd w:val="0"/>
        <w:snapToGrid w:val="0"/>
        <w:spacing w:before="6" w:after="0" w:afterLines="30" w:line="360" w:lineRule="auto"/>
        <w:ind w:left="0"/>
        <w:jc w:val="center"/>
        <w:textAlignment w:val="baseline"/>
        <w:outlineLvl w:val="2"/>
      </w:pPr>
      <w:r>
        <w:drawing>
          <wp:inline distT="0" distB="0" distL="114300" distR="114300">
            <wp:extent cx="4749165" cy="4421505"/>
            <wp:effectExtent l="4445" t="5080" r="16510" b="8255"/>
            <wp:docPr id="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489C6BA">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图</w:t>
      </w:r>
      <w:r>
        <w:rPr>
          <w:rFonts w:hint="eastAsia" w:ascii="Times New Roman" w:hAnsi="Times New Roman" w:eastAsia="宋体" w:cs="Times New Roman"/>
          <w:spacing w:val="1"/>
          <w:position w:val="17"/>
          <w:sz w:val="24"/>
          <w:szCs w:val="24"/>
          <w:lang w:val="en-US" w:eastAsia="zh-CN"/>
        </w:rPr>
        <w:t>3</w:t>
      </w:r>
      <w:r>
        <w:rPr>
          <w:rFonts w:hint="default" w:ascii="Times New Roman" w:hAnsi="Times New Roman" w:eastAsia="宋体" w:cs="Times New Roman"/>
          <w:spacing w:val="1"/>
          <w:position w:val="17"/>
          <w:sz w:val="24"/>
          <w:szCs w:val="24"/>
          <w:lang w:val="en-US" w:eastAsia="zh-CN"/>
        </w:rPr>
        <w:t>产品各阶段碳足迹（单位：kg CO</w:t>
      </w:r>
      <w:r>
        <w:rPr>
          <w:rFonts w:hint="default" w:ascii="Times New Roman" w:hAnsi="Times New Roman" w:eastAsia="宋体" w:cs="Times New Roman"/>
          <w:spacing w:val="1"/>
          <w:position w:val="17"/>
          <w:sz w:val="24"/>
          <w:szCs w:val="24"/>
          <w:vertAlign w:val="subscript"/>
          <w:lang w:val="en-US" w:eastAsia="zh-CN"/>
        </w:rPr>
        <w:t>2</w:t>
      </w:r>
      <w:r>
        <w:rPr>
          <w:rFonts w:hint="default" w:ascii="Times New Roman" w:hAnsi="Times New Roman" w:eastAsia="宋体" w:cs="Times New Roman"/>
          <w:spacing w:val="1"/>
          <w:position w:val="17"/>
          <w:sz w:val="24"/>
          <w:szCs w:val="24"/>
          <w:lang w:val="en-US" w:eastAsia="zh-CN"/>
        </w:rPr>
        <w:t xml:space="preserve"> eq.）</w:t>
      </w:r>
    </w:p>
    <w:p w14:paraId="4D3565F7">
      <w:pPr>
        <w:keepNext w:val="0"/>
        <w:keepLines w:val="0"/>
        <w:pageBreakBefore w:val="0"/>
        <w:widowControl/>
        <w:kinsoku w:val="0"/>
        <w:wordWrap/>
        <w:overflowPunct/>
        <w:topLinePunct w:val="0"/>
        <w:autoSpaceDE w:val="0"/>
        <w:autoSpaceDN w:val="0"/>
        <w:bidi w:val="0"/>
        <w:adjustRightInd w:val="0"/>
        <w:snapToGrid w:val="0"/>
        <w:spacing w:before="6" w:after="0" w:afterLines="30" w:line="360" w:lineRule="auto"/>
        <w:ind w:left="0"/>
        <w:jc w:val="both"/>
        <w:textAlignment w:val="baseline"/>
        <w:outlineLvl w:val="2"/>
        <w:rPr>
          <w:rFonts w:hint="eastAsia" w:ascii="Times New Roman" w:hAnsi="Times New Roman" w:eastAsia="Times New Roman" w:cs="Times New Roman"/>
          <w:b w:val="0"/>
          <w:bCs w:val="0"/>
          <w:spacing w:val="-1"/>
          <w:sz w:val="24"/>
          <w:szCs w:val="24"/>
          <w:lang w:val="en-US" w:eastAsia="zh-CN"/>
        </w:rPr>
      </w:pPr>
      <w:r>
        <w:rPr>
          <w:rFonts w:hint="eastAsia" w:ascii="Times New Roman" w:hAnsi="Times New Roman" w:eastAsia="Times New Roman" w:cs="Times New Roman"/>
          <w:b w:val="0"/>
          <w:bCs w:val="0"/>
          <w:spacing w:val="-1"/>
          <w:sz w:val="24"/>
          <w:szCs w:val="24"/>
          <w:lang w:val="en-US" w:eastAsia="zh-CN"/>
        </w:rPr>
        <w:t>3.1.4.3 数据质量评价（可选项）</w:t>
      </w:r>
    </w:p>
    <w:bookmarkEnd w:id="18"/>
    <w:bookmarkEnd w:id="19"/>
    <w:p w14:paraId="2F85DBF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1)现场数据</w:t>
      </w:r>
    </w:p>
    <w:p w14:paraId="2E40A36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a</w:t>
      </w:r>
      <w:r>
        <w:rPr>
          <w:rFonts w:hint="eastAsia" w:ascii="Times New Roman" w:hAnsi="Times New Roman" w:eastAsia="宋体" w:cs="Times New Roman"/>
          <w:spacing w:val="1"/>
          <w:position w:val="17"/>
          <w:sz w:val="24"/>
          <w:szCs w:val="24"/>
          <w:lang w:val="en-US" w:eastAsia="zh-CN"/>
        </w:rPr>
        <w:t xml:space="preserve">）完整性：现场数据收集了企业统计周期内的生产统计数据。 </w:t>
      </w:r>
    </w:p>
    <w:p w14:paraId="560B19B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b</w:t>
      </w:r>
      <w:r>
        <w:rPr>
          <w:rFonts w:hint="eastAsia" w:ascii="Times New Roman" w:hAnsi="Times New Roman" w:eastAsia="宋体" w:cs="Times New Roman"/>
          <w:spacing w:val="1"/>
          <w:position w:val="17"/>
          <w:sz w:val="24"/>
          <w:szCs w:val="24"/>
          <w:lang w:val="en-US" w:eastAsia="zh-CN"/>
        </w:rPr>
        <w:t xml:space="preserve">）准确性：现场数据中的产品产量、能源消耗、原材料消耗数据来自企业的实际生产统计记录；环境排放数据中，二氧化碳等温室气体及其他无法直接获 得的污染气体根据生产用化石能源的消耗量、缺省热值（取自中国能源统计年鉴） 与排放因子（取自 </w:t>
      </w:r>
      <w:r>
        <w:rPr>
          <w:rFonts w:hint="default" w:ascii="Times New Roman" w:hAnsi="Times New Roman" w:eastAsia="宋体" w:cs="Times New Roman"/>
          <w:spacing w:val="1"/>
          <w:position w:val="17"/>
          <w:sz w:val="24"/>
          <w:szCs w:val="24"/>
          <w:lang w:val="en-US" w:eastAsia="zh-CN"/>
        </w:rPr>
        <w:t xml:space="preserve">IPCC </w:t>
      </w:r>
      <w:r>
        <w:rPr>
          <w:rFonts w:hint="eastAsia" w:ascii="Times New Roman" w:hAnsi="Times New Roman" w:eastAsia="宋体" w:cs="Times New Roman"/>
          <w:spacing w:val="1"/>
          <w:position w:val="17"/>
          <w:sz w:val="24"/>
          <w:szCs w:val="24"/>
          <w:lang w:val="en-US" w:eastAsia="zh-CN"/>
        </w:rPr>
        <w:t xml:space="preserve">报告与 </w:t>
      </w:r>
      <w:r>
        <w:rPr>
          <w:rFonts w:hint="default" w:ascii="Times New Roman" w:hAnsi="Times New Roman" w:eastAsia="宋体" w:cs="Times New Roman"/>
          <w:spacing w:val="1"/>
          <w:position w:val="17"/>
          <w:sz w:val="24"/>
          <w:szCs w:val="24"/>
          <w:lang w:val="en-US" w:eastAsia="zh-CN"/>
        </w:rPr>
        <w:t xml:space="preserve">EEA </w:t>
      </w:r>
      <w:r>
        <w:rPr>
          <w:rFonts w:hint="eastAsia" w:ascii="Times New Roman" w:hAnsi="Times New Roman" w:eastAsia="宋体" w:cs="Times New Roman"/>
          <w:spacing w:val="1"/>
          <w:position w:val="17"/>
          <w:sz w:val="24"/>
          <w:szCs w:val="24"/>
          <w:lang w:val="en-US" w:eastAsia="zh-CN"/>
        </w:rPr>
        <w:t xml:space="preserve">报告）估算。 </w:t>
      </w:r>
    </w:p>
    <w:p w14:paraId="7FB0230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c</w:t>
      </w:r>
      <w:r>
        <w:rPr>
          <w:rFonts w:hint="eastAsia" w:ascii="Times New Roman" w:hAnsi="Times New Roman" w:eastAsia="宋体" w:cs="Times New Roman"/>
          <w:spacing w:val="1"/>
          <w:position w:val="17"/>
          <w:sz w:val="24"/>
          <w:szCs w:val="24"/>
          <w:lang w:val="en-US" w:eastAsia="zh-CN"/>
        </w:rPr>
        <w:t>）一致性：企业现场数据收集时同类数据均保持相同的数据来源、统计口径、处理规则等。</w:t>
      </w:r>
    </w:p>
    <w:p w14:paraId="5B1AF02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2</w:t>
      </w:r>
      <w:r>
        <w:rPr>
          <w:rFonts w:hint="eastAsia" w:ascii="Times New Roman" w:hAnsi="Times New Roman" w:eastAsia="宋体" w:cs="Times New Roman"/>
          <w:spacing w:val="1"/>
          <w:position w:val="17"/>
          <w:sz w:val="24"/>
          <w:szCs w:val="24"/>
          <w:lang w:val="en-US" w:eastAsia="zh-CN"/>
        </w:rPr>
        <w:t xml:space="preserve">）背景数据 </w:t>
      </w:r>
    </w:p>
    <w:p w14:paraId="408E0A1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a</w:t>
      </w:r>
      <w:r>
        <w:rPr>
          <w:rFonts w:hint="eastAsia" w:ascii="Times New Roman" w:hAnsi="Times New Roman" w:eastAsia="宋体" w:cs="Times New Roman"/>
          <w:spacing w:val="1"/>
          <w:position w:val="17"/>
          <w:sz w:val="24"/>
          <w:szCs w:val="24"/>
          <w:lang w:val="en-US" w:eastAsia="zh-CN"/>
        </w:rPr>
        <w:t xml:space="preserve">）代表性：优先选择企业的原料供应商提供的符合相关 </w:t>
      </w:r>
      <w:r>
        <w:rPr>
          <w:rFonts w:hint="default" w:ascii="Times New Roman" w:hAnsi="Times New Roman" w:eastAsia="宋体" w:cs="Times New Roman"/>
          <w:spacing w:val="1"/>
          <w:position w:val="17"/>
          <w:sz w:val="24"/>
          <w:szCs w:val="24"/>
          <w:lang w:val="en-US" w:eastAsia="zh-CN"/>
        </w:rPr>
        <w:t xml:space="preserve">PCR </w:t>
      </w:r>
      <w:r>
        <w:rPr>
          <w:rFonts w:hint="eastAsia" w:ascii="Times New Roman" w:hAnsi="Times New Roman" w:eastAsia="宋体" w:cs="Times New Roman"/>
          <w:spacing w:val="1"/>
          <w:position w:val="17"/>
          <w:sz w:val="24"/>
          <w:szCs w:val="24"/>
          <w:lang w:val="en-US" w:eastAsia="zh-CN"/>
        </w:rPr>
        <w:t xml:space="preserve">标准要求、经第三方独立验证的上游产品数据作为背景数据，其次选择近年代表国内行业平均生产水平的公开生命周期评价数据，再次选择国外同类技术数据作为背景数据。 </w:t>
      </w:r>
    </w:p>
    <w:p w14:paraId="1C2B7C1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b</w:t>
      </w:r>
      <w:r>
        <w:rPr>
          <w:rFonts w:hint="eastAsia" w:ascii="Times New Roman" w:hAnsi="Times New Roman" w:eastAsia="宋体" w:cs="Times New Roman"/>
          <w:spacing w:val="1"/>
          <w:position w:val="17"/>
          <w:sz w:val="24"/>
          <w:szCs w:val="24"/>
          <w:lang w:val="en-US" w:eastAsia="zh-CN"/>
        </w:rPr>
        <w:t xml:space="preserve">）完整性：背景数据集均收集齐全，背景数据清单的输入与输出流信息完整，企业生产设备等背景数据根据制定的取舍规则舍弃。 </w:t>
      </w:r>
    </w:p>
    <w:p w14:paraId="07079E9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lang w:val="en-US" w:eastAsia="zh-CN"/>
        </w:rPr>
      </w:pPr>
      <w:r>
        <w:rPr>
          <w:rFonts w:hint="default" w:ascii="Times New Roman" w:hAnsi="Times New Roman" w:eastAsia="宋体" w:cs="Times New Roman"/>
          <w:spacing w:val="1"/>
          <w:position w:val="17"/>
          <w:sz w:val="24"/>
          <w:szCs w:val="24"/>
          <w:lang w:val="en-US" w:eastAsia="zh-CN"/>
        </w:rPr>
        <w:t>c</w:t>
      </w:r>
      <w:r>
        <w:rPr>
          <w:rFonts w:hint="eastAsia" w:ascii="Times New Roman" w:hAnsi="Times New Roman" w:eastAsia="宋体" w:cs="Times New Roman"/>
          <w:spacing w:val="1"/>
          <w:position w:val="17"/>
          <w:sz w:val="24"/>
          <w:szCs w:val="24"/>
          <w:lang w:val="en-US" w:eastAsia="zh-CN"/>
        </w:rPr>
        <w:t>）一致性：本机构对同类产品背景数据的选择保持一致，当背景数据更新时，本报告也应更新。</w:t>
      </w:r>
    </w:p>
    <w:p w14:paraId="32A942AC">
      <w:pPr>
        <w:keepNext w:val="0"/>
        <w:keepLines w:val="0"/>
        <w:pageBreakBefore w:val="0"/>
        <w:widowControl/>
        <w:kinsoku w:val="0"/>
        <w:wordWrap/>
        <w:overflowPunct/>
        <w:topLinePunct w:val="0"/>
        <w:autoSpaceDE w:val="0"/>
        <w:autoSpaceDN w:val="0"/>
        <w:bidi w:val="0"/>
        <w:adjustRightInd w:val="0"/>
        <w:snapToGrid w:val="0"/>
        <w:spacing w:before="6" w:after="0" w:afterLines="30" w:line="360" w:lineRule="auto"/>
        <w:ind w:left="0"/>
        <w:jc w:val="both"/>
        <w:textAlignment w:val="baseline"/>
        <w:outlineLvl w:val="2"/>
        <w:rPr>
          <w:rFonts w:hint="default" w:ascii="Times New Roman" w:hAnsi="Times New Roman" w:eastAsia="Times New Roman" w:cs="Times New Roman"/>
          <w:b/>
          <w:bCs/>
          <w:snapToGrid w:val="0"/>
          <w:color w:val="000000"/>
          <w:spacing w:val="-1"/>
          <w:kern w:val="0"/>
          <w:sz w:val="24"/>
          <w:szCs w:val="24"/>
          <w:lang w:val="en-US" w:eastAsia="zh-CN"/>
        </w:rPr>
      </w:pPr>
      <w:r>
        <w:rPr>
          <w:rFonts w:hint="eastAsia" w:ascii="Times New Roman" w:hAnsi="Times New Roman" w:eastAsia="Times New Roman" w:cs="Times New Roman"/>
          <w:b/>
          <w:bCs/>
          <w:spacing w:val="-1"/>
          <w:sz w:val="24"/>
          <w:szCs w:val="24"/>
          <w:lang w:val="en-US" w:eastAsia="zh-CN"/>
        </w:rPr>
        <w:t>3.1.5</w:t>
      </w:r>
      <w:r>
        <w:rPr>
          <w:rFonts w:hint="default" w:ascii="Times New Roman" w:hAnsi="Times New Roman" w:eastAsia="Times New Roman" w:cs="Times New Roman"/>
          <w:b/>
          <w:bCs/>
          <w:spacing w:val="-1"/>
          <w:sz w:val="24"/>
          <w:szCs w:val="24"/>
          <w:lang w:val="en-US" w:eastAsia="zh-CN"/>
        </w:rPr>
        <w:t xml:space="preserve"> </w:t>
      </w:r>
      <w:r>
        <w:rPr>
          <w:rFonts w:hint="default" w:ascii="Times New Roman" w:hAnsi="Times New Roman" w:eastAsia="Times New Roman" w:cs="Times New Roman"/>
          <w:b/>
          <w:bCs/>
          <w:snapToGrid w:val="0"/>
          <w:color w:val="000000"/>
          <w:spacing w:val="-1"/>
          <w:kern w:val="0"/>
          <w:sz w:val="24"/>
          <w:szCs w:val="24"/>
          <w:lang w:val="en-US" w:eastAsia="zh-CN"/>
        </w:rPr>
        <w:t>影响评价</w:t>
      </w:r>
    </w:p>
    <w:p w14:paraId="5F47C56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484" w:firstLineChars="200"/>
        <w:jc w:val="both"/>
        <w:textAlignment w:val="baseline"/>
        <w:rPr>
          <w:rFonts w:hint="default" w:ascii="Times New Roman" w:hAnsi="Times New Roman" w:eastAsia="宋体" w:cs="Times New Roman"/>
          <w:snapToGrid w:val="0"/>
          <w:color w:val="000000"/>
          <w:spacing w:val="1"/>
          <w:kern w:val="0"/>
          <w:position w:val="17"/>
          <w:sz w:val="24"/>
          <w:szCs w:val="24"/>
          <w:lang w:val="en-US" w:eastAsia="zh-CN"/>
        </w:rPr>
      </w:pPr>
      <w:r>
        <w:rPr>
          <w:rFonts w:hint="default" w:ascii="Times New Roman" w:hAnsi="Times New Roman" w:eastAsia="宋体" w:cs="Times New Roman"/>
          <w:snapToGrid w:val="0"/>
          <w:color w:val="000000"/>
          <w:spacing w:val="1"/>
          <w:kern w:val="0"/>
          <w:position w:val="17"/>
          <w:sz w:val="24"/>
          <w:szCs w:val="24"/>
          <w:lang w:val="en-US" w:eastAsia="zh-CN"/>
        </w:rPr>
        <w:t xml:space="preserve">采用ReCiPe midpoint(H) </w:t>
      </w:r>
      <w:r>
        <w:rPr>
          <w:rFonts w:hint="eastAsia" w:ascii="Times New Roman" w:hAnsi="Times New Roman" w:eastAsia="宋体" w:cs="Times New Roman"/>
          <w:snapToGrid w:val="0"/>
          <w:color w:val="000000"/>
          <w:spacing w:val="1"/>
          <w:kern w:val="0"/>
          <w:position w:val="17"/>
          <w:sz w:val="24"/>
          <w:szCs w:val="24"/>
          <w:lang w:val="en-US" w:eastAsia="zh-CN"/>
        </w:rPr>
        <w:t>V1.04</w:t>
      </w:r>
      <w:r>
        <w:rPr>
          <w:rFonts w:hint="default" w:ascii="Times New Roman" w:hAnsi="Times New Roman" w:eastAsia="宋体" w:cs="Times New Roman"/>
          <w:snapToGrid w:val="0"/>
          <w:color w:val="000000"/>
          <w:spacing w:val="1"/>
          <w:kern w:val="0"/>
          <w:position w:val="17"/>
          <w:sz w:val="24"/>
          <w:szCs w:val="24"/>
          <w:lang w:val="en-US" w:eastAsia="zh-CN"/>
        </w:rPr>
        <w:t>方法体系对产品生命周期清单进行环境影响评价，产品碳足迹仅选取“全球变暖”环境影响指标进行分析，借助SimaPro软件计算功能单位产品的全球变暖指标值（即产品碳足迹）。</w:t>
      </w:r>
    </w:p>
    <w:p w14:paraId="0D036B5B">
      <w:pPr>
        <w:pStyle w:val="2"/>
        <w:rPr>
          <w:rFonts w:hint="default"/>
          <w:lang w:val="en-US" w:eastAsia="zh-CN"/>
        </w:rPr>
      </w:pPr>
    </w:p>
    <w:p w14:paraId="646C6322">
      <w:pPr>
        <w:keepNext w:val="0"/>
        <w:keepLines w:val="0"/>
        <w:pageBreakBefore w:val="0"/>
        <w:widowControl/>
        <w:kinsoku w:val="0"/>
        <w:wordWrap/>
        <w:overflowPunct/>
        <w:topLinePunct w:val="0"/>
        <w:autoSpaceDE w:val="0"/>
        <w:autoSpaceDN w:val="0"/>
        <w:bidi w:val="0"/>
        <w:adjustRightInd w:val="0"/>
        <w:snapToGrid w:val="0"/>
        <w:spacing w:before="6" w:after="0" w:afterLines="30" w:line="360" w:lineRule="auto"/>
        <w:ind w:left="0"/>
        <w:jc w:val="both"/>
        <w:textAlignment w:val="baseline"/>
        <w:outlineLvl w:val="2"/>
        <w:rPr>
          <w:rFonts w:hint="eastAsia" w:ascii="Times New Roman" w:hAnsi="Times New Roman" w:eastAsia="Times New Roman" w:cs="Times New Roman"/>
          <w:b/>
          <w:bCs/>
          <w:spacing w:val="-1"/>
          <w:sz w:val="24"/>
          <w:szCs w:val="24"/>
          <w:lang w:val="en-US" w:eastAsia="zh-CN"/>
        </w:rPr>
      </w:pPr>
      <w:r>
        <w:rPr>
          <w:rFonts w:hint="eastAsia" w:ascii="Times New Roman" w:hAnsi="Times New Roman" w:eastAsia="Times New Roman" w:cs="Times New Roman"/>
          <w:b/>
          <w:bCs/>
          <w:spacing w:val="-1"/>
          <w:sz w:val="24"/>
          <w:szCs w:val="24"/>
          <w:lang w:val="en-US" w:eastAsia="zh-CN"/>
        </w:rPr>
        <w:t>3.1.6结果解释</w:t>
      </w:r>
    </w:p>
    <w:p w14:paraId="4516B9F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napToGrid w:val="0"/>
          <w:color w:val="000000"/>
          <w:spacing w:val="1"/>
          <w:kern w:val="0"/>
          <w:position w:val="17"/>
          <w:sz w:val="24"/>
          <w:szCs w:val="24"/>
          <w:lang w:val="en-US" w:eastAsia="zh-CN"/>
        </w:rPr>
        <w:t>远大阀门集团有限公司</w:t>
      </w:r>
      <w:r>
        <w:rPr>
          <w:rFonts w:hint="eastAsia" w:ascii="Times New Roman" w:hAnsi="Times New Roman" w:eastAsia="宋体" w:cs="Times New Roman"/>
          <w:spacing w:val="1"/>
          <w:position w:val="17"/>
          <w:sz w:val="24"/>
          <w:szCs w:val="24"/>
          <w:lang w:val="en-US" w:eastAsia="zh-CN"/>
        </w:rPr>
        <w:t>生产的</w:t>
      </w:r>
      <w:r>
        <w:rPr>
          <w:rFonts w:hint="eastAsia" w:ascii="Times New Roman" w:hAnsi="Times New Roman" w:eastAsia="宋体" w:cs="Times New Roman"/>
          <w:snapToGrid w:val="0"/>
          <w:color w:val="000000"/>
          <w:spacing w:val="1"/>
          <w:kern w:val="0"/>
          <w:position w:val="17"/>
          <w:sz w:val="24"/>
          <w:szCs w:val="24"/>
          <w:lang w:val="en-US" w:eastAsia="zh-CN"/>
        </w:rPr>
        <w:t>软密封闸阀</w:t>
      </w:r>
      <w:r>
        <w:rPr>
          <w:rFonts w:hint="eastAsia" w:ascii="Times New Roman" w:hAnsi="Times New Roman" w:eastAsia="宋体" w:cs="Times New Roman"/>
          <w:spacing w:val="1"/>
          <w:position w:val="17"/>
          <w:sz w:val="24"/>
          <w:szCs w:val="24"/>
          <w:lang w:val="en-US" w:eastAsia="zh-CN"/>
        </w:rPr>
        <w:t>，从</w:t>
      </w:r>
      <w:r>
        <w:rPr>
          <w:rFonts w:hint="eastAsia" w:ascii="Times New Roman" w:hAnsi="Times New Roman" w:eastAsia="宋体" w:cs="Times New Roman"/>
          <w:spacing w:val="1"/>
          <w:position w:val="17"/>
          <w:sz w:val="24"/>
          <w:szCs w:val="24"/>
          <w:u w:val="single"/>
          <w:lang w:val="en-US" w:eastAsia="zh-CN"/>
        </w:rPr>
        <w:t>原料获取</w:t>
      </w:r>
      <w:r>
        <w:rPr>
          <w:rFonts w:hint="eastAsia" w:ascii="Times New Roman" w:hAnsi="Times New Roman" w:eastAsia="宋体" w:cs="Times New Roman"/>
          <w:spacing w:val="1"/>
          <w:position w:val="17"/>
          <w:sz w:val="24"/>
          <w:szCs w:val="24"/>
          <w:lang w:val="en-US" w:eastAsia="zh-CN"/>
        </w:rPr>
        <w:t>到</w:t>
      </w:r>
      <w:r>
        <w:rPr>
          <w:rFonts w:hint="eastAsia" w:ascii="Times New Roman" w:hAnsi="Times New Roman" w:eastAsia="宋体" w:cs="Times New Roman"/>
          <w:spacing w:val="1"/>
          <w:position w:val="17"/>
          <w:sz w:val="24"/>
          <w:szCs w:val="24"/>
          <w:u w:val="single"/>
          <w:lang w:val="en-US" w:eastAsia="zh-CN"/>
        </w:rPr>
        <w:t>产品生产</w:t>
      </w:r>
      <w:r>
        <w:rPr>
          <w:rFonts w:hint="eastAsia" w:ascii="Times New Roman" w:hAnsi="Times New Roman" w:eastAsia="宋体" w:cs="Times New Roman"/>
          <w:spacing w:val="1"/>
          <w:position w:val="17"/>
          <w:sz w:val="24"/>
          <w:szCs w:val="24"/>
          <w:u w:val="none"/>
          <w:lang w:val="en-US" w:eastAsia="zh-CN"/>
        </w:rPr>
        <w:t>阶段的</w:t>
      </w:r>
      <w:r>
        <w:rPr>
          <w:rFonts w:hint="eastAsia" w:ascii="Times New Roman" w:hAnsi="Times New Roman" w:eastAsia="宋体" w:cs="Times New Roman"/>
          <w:spacing w:val="1"/>
          <w:position w:val="17"/>
          <w:sz w:val="24"/>
          <w:szCs w:val="24"/>
          <w:lang w:val="en-US" w:eastAsia="zh-CN"/>
        </w:rPr>
        <w:t>生命周期碳足迹为</w:t>
      </w:r>
      <w:r>
        <w:rPr>
          <w:rFonts w:hint="eastAsia" w:ascii="Times New Roman" w:hAnsi="Times New Roman" w:eastAsia="宋体" w:cs="Times New Roman"/>
          <w:spacing w:val="1"/>
          <w:position w:val="17"/>
          <w:sz w:val="24"/>
          <w:szCs w:val="24"/>
          <w:u w:val="single"/>
          <w:lang w:val="en-US" w:eastAsia="zh-CN"/>
        </w:rPr>
        <w:t xml:space="preserve"> 2.89 </w:t>
      </w:r>
      <w:r>
        <w:rPr>
          <w:rFonts w:hint="eastAsia" w:ascii="Times New Roman" w:hAnsi="Times New Roman" w:eastAsia="宋体" w:cs="Times New Roman"/>
          <w:spacing w:val="1"/>
          <w:position w:val="17"/>
          <w:sz w:val="24"/>
          <w:szCs w:val="24"/>
          <w:lang w:val="en-US" w:eastAsia="zh-CN"/>
        </w:rPr>
        <w:t>kgCO2e。各生命周期阶段的温室气体排放情况如表4和图4所示。</w:t>
      </w:r>
    </w:p>
    <w:p w14:paraId="6AE0E410">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 xml:space="preserve">表4  </w:t>
      </w:r>
      <w:r>
        <w:rPr>
          <w:rFonts w:hint="eastAsia" w:ascii="Times New Roman" w:hAnsi="Times New Roman" w:eastAsia="宋体" w:cs="Times New Roman"/>
          <w:snapToGrid w:val="0"/>
          <w:color w:val="000000"/>
          <w:spacing w:val="1"/>
          <w:kern w:val="0"/>
          <w:position w:val="17"/>
          <w:sz w:val="24"/>
          <w:szCs w:val="24"/>
          <w:lang w:val="en-US" w:eastAsia="zh-CN"/>
        </w:rPr>
        <w:t>软密封闸阀</w:t>
      </w:r>
      <w:r>
        <w:rPr>
          <w:rFonts w:hint="eastAsia" w:ascii="Times New Roman" w:hAnsi="Times New Roman" w:eastAsia="宋体" w:cs="Times New Roman"/>
          <w:spacing w:val="1"/>
          <w:position w:val="17"/>
          <w:sz w:val="24"/>
          <w:szCs w:val="24"/>
          <w:lang w:val="en-US" w:eastAsia="zh-CN"/>
        </w:rPr>
        <w:t>产品生命周期各阶段碳排放情况</w:t>
      </w:r>
    </w:p>
    <w:tbl>
      <w:tblPr>
        <w:tblStyle w:val="14"/>
        <w:tblW w:w="963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90"/>
        <w:gridCol w:w="2230"/>
        <w:gridCol w:w="1089"/>
        <w:gridCol w:w="1111"/>
        <w:gridCol w:w="1103"/>
        <w:gridCol w:w="1390"/>
        <w:gridCol w:w="1720"/>
      </w:tblGrid>
      <w:tr w14:paraId="21715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48" w:hRule="atLeast"/>
          <w:jc w:val="center"/>
        </w:trPr>
        <w:tc>
          <w:tcPr>
            <w:tcW w:w="990" w:type="dxa"/>
            <w:vMerge w:val="restart"/>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2579DA21">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过程</w:t>
            </w:r>
          </w:p>
        </w:tc>
        <w:tc>
          <w:tcPr>
            <w:tcW w:w="22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45F8E09">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项目</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A8F9948">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CO</w:t>
            </w:r>
            <w:r>
              <w:rPr>
                <w:rFonts w:hint="default" w:ascii="Times New Roman" w:hAnsi="Times New Roman" w:eastAsia="仿宋" w:cs="Times New Roman"/>
                <w:i w:val="0"/>
                <w:color w:val="000000"/>
                <w:kern w:val="0"/>
                <w:sz w:val="21"/>
                <w:szCs w:val="21"/>
                <w:u w:val="none"/>
                <w:vertAlign w:val="subscript"/>
                <w:lang w:val="en-US" w:eastAsia="zh-CN" w:bidi="ar"/>
              </w:rPr>
              <w:t>2</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49E0DC6">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N</w:t>
            </w:r>
            <w:r>
              <w:rPr>
                <w:rFonts w:hint="default" w:ascii="Times New Roman" w:hAnsi="Times New Roman" w:eastAsia="仿宋" w:cs="Times New Roman"/>
                <w:i w:val="0"/>
                <w:color w:val="000000"/>
                <w:kern w:val="0"/>
                <w:sz w:val="21"/>
                <w:szCs w:val="21"/>
                <w:u w:val="none"/>
                <w:vertAlign w:val="subscript"/>
                <w:lang w:val="en-US" w:eastAsia="zh-CN" w:bidi="ar"/>
              </w:rPr>
              <w:t>2</w:t>
            </w:r>
            <w:r>
              <w:rPr>
                <w:rFonts w:hint="default" w:ascii="Times New Roman" w:hAnsi="Times New Roman" w:eastAsia="仿宋" w:cs="Times New Roman"/>
                <w:i w:val="0"/>
                <w:color w:val="000000"/>
                <w:kern w:val="0"/>
                <w:sz w:val="21"/>
                <w:szCs w:val="21"/>
                <w:u w:val="none"/>
                <w:lang w:val="en-US" w:eastAsia="zh-CN" w:bidi="ar"/>
              </w:rPr>
              <w:t>O</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480A028">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CH</w:t>
            </w:r>
            <w:r>
              <w:rPr>
                <w:rFonts w:hint="default" w:ascii="Times New Roman" w:hAnsi="Times New Roman" w:eastAsia="仿宋" w:cs="Times New Roman"/>
                <w:i w:val="0"/>
                <w:color w:val="000000"/>
                <w:kern w:val="0"/>
                <w:sz w:val="21"/>
                <w:szCs w:val="21"/>
                <w:u w:val="none"/>
                <w:vertAlign w:val="subscript"/>
                <w:lang w:val="en-US" w:eastAsia="zh-CN" w:bidi="ar"/>
              </w:rPr>
              <w:t>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1BC3CCC">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其他温室气体</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EA82E55">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温室气体排放总量</w:t>
            </w:r>
          </w:p>
        </w:tc>
      </w:tr>
      <w:tr w14:paraId="205E2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48" w:hRule="atLeast"/>
          <w:jc w:val="center"/>
        </w:trPr>
        <w:tc>
          <w:tcPr>
            <w:tcW w:w="990" w:type="dxa"/>
            <w:vMerge w:val="continue"/>
            <w:tcBorders>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44B636B">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0DAB5FE">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单位</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4DE0AC9">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kg CO</w:t>
            </w:r>
            <w:r>
              <w:rPr>
                <w:rFonts w:hint="default" w:ascii="Times New Roman" w:hAnsi="Times New Roman" w:eastAsia="仿宋" w:cs="Times New Roman"/>
                <w:i w:val="0"/>
                <w:color w:val="000000"/>
                <w:kern w:val="0"/>
                <w:sz w:val="21"/>
                <w:szCs w:val="21"/>
                <w:u w:val="none"/>
                <w:vertAlign w:val="subscript"/>
                <w:lang w:val="en-US" w:eastAsia="zh-CN" w:bidi="ar"/>
              </w:rPr>
              <w:t>2</w:t>
            </w:r>
            <w:r>
              <w:rPr>
                <w:rFonts w:hint="default" w:ascii="Times New Roman" w:hAnsi="Times New Roman" w:eastAsia="仿宋" w:cs="Times New Roman"/>
                <w:i w:val="0"/>
                <w:color w:val="000000"/>
                <w:kern w:val="0"/>
                <w:sz w:val="21"/>
                <w:szCs w:val="21"/>
                <w:u w:val="none"/>
                <w:lang w:val="en-US" w:eastAsia="zh-CN" w:bidi="ar"/>
              </w:rPr>
              <w:t xml:space="preserve"> eq.</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36867C3">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kg CO</w:t>
            </w:r>
            <w:r>
              <w:rPr>
                <w:rFonts w:hint="default" w:ascii="Times New Roman" w:hAnsi="Times New Roman" w:eastAsia="仿宋" w:cs="Times New Roman"/>
                <w:i w:val="0"/>
                <w:color w:val="000000"/>
                <w:kern w:val="0"/>
                <w:sz w:val="21"/>
                <w:szCs w:val="21"/>
                <w:u w:val="none"/>
                <w:vertAlign w:val="subscript"/>
                <w:lang w:val="en-US" w:eastAsia="zh-CN" w:bidi="ar"/>
              </w:rPr>
              <w:t>2</w:t>
            </w:r>
            <w:r>
              <w:rPr>
                <w:rFonts w:hint="default" w:ascii="Times New Roman" w:hAnsi="Times New Roman" w:eastAsia="仿宋" w:cs="Times New Roman"/>
                <w:i w:val="0"/>
                <w:color w:val="000000"/>
                <w:kern w:val="0"/>
                <w:sz w:val="21"/>
                <w:szCs w:val="21"/>
                <w:u w:val="none"/>
                <w:lang w:val="en-US" w:eastAsia="zh-CN" w:bidi="ar"/>
              </w:rPr>
              <w:t xml:space="preserve"> eq.</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D3AAF2B">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kg CO</w:t>
            </w:r>
            <w:r>
              <w:rPr>
                <w:rFonts w:hint="default" w:ascii="Times New Roman" w:hAnsi="Times New Roman" w:eastAsia="仿宋" w:cs="Times New Roman"/>
                <w:i w:val="0"/>
                <w:color w:val="000000"/>
                <w:kern w:val="0"/>
                <w:sz w:val="21"/>
                <w:szCs w:val="21"/>
                <w:u w:val="none"/>
                <w:vertAlign w:val="subscript"/>
                <w:lang w:val="en-US" w:eastAsia="zh-CN" w:bidi="ar"/>
              </w:rPr>
              <w:t>2</w:t>
            </w:r>
            <w:r>
              <w:rPr>
                <w:rFonts w:hint="default" w:ascii="Times New Roman" w:hAnsi="Times New Roman" w:eastAsia="仿宋" w:cs="Times New Roman"/>
                <w:i w:val="0"/>
                <w:color w:val="000000"/>
                <w:kern w:val="0"/>
                <w:sz w:val="21"/>
                <w:szCs w:val="21"/>
                <w:u w:val="none"/>
                <w:lang w:val="en-US" w:eastAsia="zh-CN" w:bidi="ar"/>
              </w:rPr>
              <w:t xml:space="preserve"> eq.</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AACBFF7">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kg CO</w:t>
            </w:r>
            <w:r>
              <w:rPr>
                <w:rFonts w:hint="default" w:ascii="Times New Roman" w:hAnsi="Times New Roman" w:eastAsia="仿宋" w:cs="Times New Roman"/>
                <w:i w:val="0"/>
                <w:color w:val="000000"/>
                <w:kern w:val="0"/>
                <w:sz w:val="21"/>
                <w:szCs w:val="21"/>
                <w:u w:val="none"/>
                <w:vertAlign w:val="subscript"/>
                <w:lang w:val="en-US" w:eastAsia="zh-CN" w:bidi="ar"/>
              </w:rPr>
              <w:t>2</w:t>
            </w:r>
            <w:r>
              <w:rPr>
                <w:rFonts w:hint="default" w:ascii="Times New Roman" w:hAnsi="Times New Roman" w:eastAsia="仿宋" w:cs="Times New Roman"/>
                <w:i w:val="0"/>
                <w:color w:val="000000"/>
                <w:kern w:val="0"/>
                <w:sz w:val="21"/>
                <w:szCs w:val="21"/>
                <w:u w:val="none"/>
                <w:lang w:val="en-US" w:eastAsia="zh-CN" w:bidi="ar"/>
              </w:rPr>
              <w:t xml:space="preserve"> eq.</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20383EF">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kg CO</w:t>
            </w:r>
            <w:r>
              <w:rPr>
                <w:rFonts w:hint="default" w:ascii="Times New Roman" w:hAnsi="Times New Roman" w:eastAsia="仿宋" w:cs="Times New Roman"/>
                <w:i w:val="0"/>
                <w:color w:val="000000"/>
                <w:kern w:val="0"/>
                <w:sz w:val="21"/>
                <w:szCs w:val="21"/>
                <w:u w:val="none"/>
                <w:vertAlign w:val="subscript"/>
                <w:lang w:val="en-US" w:eastAsia="zh-CN" w:bidi="ar"/>
              </w:rPr>
              <w:t>2</w:t>
            </w:r>
            <w:r>
              <w:rPr>
                <w:rFonts w:hint="default" w:ascii="Times New Roman" w:hAnsi="Times New Roman" w:eastAsia="仿宋" w:cs="Times New Roman"/>
                <w:i w:val="0"/>
                <w:color w:val="000000"/>
                <w:kern w:val="0"/>
                <w:sz w:val="21"/>
                <w:szCs w:val="21"/>
                <w:u w:val="none"/>
                <w:lang w:val="en-US" w:eastAsia="zh-CN" w:bidi="ar"/>
              </w:rPr>
              <w:t xml:space="preserve"> eq.</w:t>
            </w:r>
          </w:p>
        </w:tc>
      </w:tr>
      <w:tr w14:paraId="79E15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5"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4FD1FE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产品生产</w:t>
            </w:r>
          </w:p>
        </w:tc>
        <w:tc>
          <w:tcPr>
            <w:tcW w:w="22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7BD88F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闸阀</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8F4834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0.00E+00</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7EC215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0.00E+00</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349D94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0.00E+00</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7A966E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0.00E+00</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BC4B56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0.00E+00</w:t>
            </w:r>
          </w:p>
        </w:tc>
      </w:tr>
      <w:tr w14:paraId="5F52C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99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167153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原</w:t>
            </w:r>
            <w:r>
              <w:rPr>
                <w:rFonts w:hint="eastAsia" w:eastAsia="仿宋" w:cs="Times New Roman"/>
                <w:i w:val="0"/>
                <w:iCs w:val="0"/>
                <w:color w:val="000000"/>
                <w:kern w:val="0"/>
                <w:sz w:val="21"/>
                <w:szCs w:val="21"/>
                <w:u w:val="none"/>
                <w:lang w:val="en-US" w:eastAsia="zh-CN" w:bidi="ar"/>
              </w:rPr>
              <w:t>料</w:t>
            </w:r>
            <w:r>
              <w:rPr>
                <w:rFonts w:hint="default" w:ascii="Times New Roman" w:hAnsi="Times New Roman" w:eastAsia="仿宋" w:cs="Times New Roman"/>
                <w:i w:val="0"/>
                <w:iCs w:val="0"/>
                <w:color w:val="000000"/>
                <w:kern w:val="0"/>
                <w:sz w:val="21"/>
                <w:szCs w:val="21"/>
                <w:u w:val="none"/>
                <w:lang w:val="en-US" w:eastAsia="zh-CN" w:bidi="ar"/>
              </w:rPr>
              <w:t>生产</w:t>
            </w: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7C121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生铁</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BCEB4D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7.56E-01</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DCCECD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3.23E-03</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57C0C0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1.13E-01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AD0612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1.44E-03</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C99118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8.73E-01</w:t>
            </w:r>
          </w:p>
        </w:tc>
      </w:tr>
      <w:tr w14:paraId="76566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6AF74E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13D44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废钢</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B172F2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3.96E-02</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B62AC6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6.76E-04</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73F968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4.16E-03</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95651D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2.49E-04</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DC545F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4.46E-02</w:t>
            </w:r>
          </w:p>
        </w:tc>
      </w:tr>
      <w:tr w14:paraId="74BDE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3447B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8DE03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硅铁</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5A2064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5.26E-03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D217FD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3.03E-05</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980F1C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7.04E-04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1D4425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1.40E-05</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0F239A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6.00E-03</w:t>
            </w:r>
          </w:p>
        </w:tc>
      </w:tr>
      <w:tr w14:paraId="3DD62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DF0A94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9511E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锰铁</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97F19F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4.15E-03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9A3B99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5.08E-05</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69C910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3.39E-04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7C389C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1.78E-05</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3C9DE8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4.56E-03</w:t>
            </w:r>
          </w:p>
        </w:tc>
      </w:tr>
      <w:tr w14:paraId="20625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2F8CE0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E9307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闸板包胶/QT450</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695ADC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1.21E-01</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DA230D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1.55E-03</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929AEF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1.52E-02</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185D06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3.60E-04</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2E5893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1.38E-01</w:t>
            </w:r>
          </w:p>
        </w:tc>
      </w:tr>
      <w:tr w14:paraId="3C355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0308A7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65393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闸板包胶/EPDM</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65C370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1.38E-02</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E04822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1.77E-04</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A59178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1.73E-03</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85A03D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4.11E-05</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29B217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1.57E-02</w:t>
            </w:r>
          </w:p>
        </w:tc>
      </w:tr>
      <w:tr w14:paraId="4E912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435CC5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D4836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仿宋" w:cs="Times New Roman"/>
                <w:i w:val="0"/>
                <w:iCs w:val="0"/>
                <w:color w:val="000000"/>
                <w:kern w:val="0"/>
                <w:sz w:val="21"/>
                <w:szCs w:val="21"/>
                <w:u w:val="none"/>
                <w:lang w:val="en-US" w:eastAsia="zh-CN" w:bidi="ar"/>
              </w:rPr>
            </w:pPr>
            <w:r>
              <w:rPr>
                <w:rFonts w:hint="eastAsia" w:ascii="Times New Roman" w:hAnsi="Times New Roman" w:eastAsia="仿宋" w:cs="Times New Roman"/>
                <w:i w:val="0"/>
                <w:iCs w:val="0"/>
                <w:color w:val="000000"/>
                <w:kern w:val="0"/>
                <w:sz w:val="21"/>
                <w:szCs w:val="21"/>
                <w:u w:val="none"/>
                <w:lang w:val="en-US" w:eastAsia="zh-CN" w:bidi="ar"/>
              </w:rPr>
              <w:t>阀杆</w:t>
            </w:r>
            <w:r>
              <w:rPr>
                <w:rFonts w:hint="default" w:ascii="Times New Roman" w:hAnsi="Times New Roman" w:eastAsia="仿宋" w:cs="Times New Roman"/>
                <w:i w:val="0"/>
                <w:iCs w:val="0"/>
                <w:color w:val="000000"/>
                <w:kern w:val="0"/>
                <w:sz w:val="21"/>
                <w:szCs w:val="21"/>
                <w:u w:val="none"/>
                <w:lang w:val="en-US" w:eastAsia="zh-CN" w:bidi="ar"/>
              </w:rPr>
              <w:t>/20Cr13</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FF8D84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7.58E-02</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EA254A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5.97E-04</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F1701B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7.98E-03</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089B2B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1.15E-04</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754CD6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8.44E-02</w:t>
            </w:r>
          </w:p>
        </w:tc>
      </w:tr>
      <w:tr w14:paraId="3CCF4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7E6395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0BF5C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eastAsia" w:ascii="Times New Roman" w:hAnsi="Times New Roman" w:eastAsia="仿宋" w:cs="Times New Roman"/>
                <w:i w:val="0"/>
                <w:iCs w:val="0"/>
                <w:color w:val="000000"/>
                <w:kern w:val="0"/>
                <w:sz w:val="21"/>
                <w:szCs w:val="21"/>
                <w:u w:val="none"/>
                <w:lang w:val="en-US" w:eastAsia="zh-CN" w:bidi="ar"/>
              </w:rPr>
              <w:t>阀杆螺母</w:t>
            </w:r>
            <w:r>
              <w:rPr>
                <w:rFonts w:hint="default" w:ascii="Times New Roman" w:hAnsi="Times New Roman" w:eastAsia="仿宋" w:cs="Times New Roman"/>
                <w:i w:val="0"/>
                <w:iCs w:val="0"/>
                <w:color w:val="000000"/>
                <w:kern w:val="0"/>
                <w:sz w:val="21"/>
                <w:szCs w:val="21"/>
                <w:u w:val="none"/>
                <w:lang w:val="en-US" w:eastAsia="zh-CN" w:bidi="ar"/>
              </w:rPr>
              <w:t>/20Cr13</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B25F70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3.29E-03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3463A3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2.59E-05</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04D06F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3.46E-04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93BA57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4.97E-06</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649886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3.67E-03</w:t>
            </w:r>
          </w:p>
        </w:tc>
      </w:tr>
      <w:tr w14:paraId="308D5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9F2D91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FAF61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eastAsia" w:ascii="Times New Roman" w:hAnsi="Times New Roman" w:eastAsia="仿宋" w:cs="Times New Roman"/>
                <w:i w:val="0"/>
                <w:iCs w:val="0"/>
                <w:color w:val="000000"/>
                <w:kern w:val="0"/>
                <w:sz w:val="21"/>
                <w:szCs w:val="21"/>
                <w:u w:val="none"/>
                <w:lang w:val="en-US" w:eastAsia="zh-CN" w:bidi="ar"/>
              </w:rPr>
              <w:t>中口螺栓</w:t>
            </w:r>
            <w:r>
              <w:rPr>
                <w:rFonts w:hint="default" w:ascii="Times New Roman" w:hAnsi="Times New Roman" w:eastAsia="仿宋" w:cs="Times New Roman"/>
                <w:i w:val="0"/>
                <w:iCs w:val="0"/>
                <w:color w:val="000000"/>
                <w:kern w:val="0"/>
                <w:sz w:val="21"/>
                <w:szCs w:val="21"/>
                <w:u w:val="none"/>
                <w:lang w:val="en-US" w:eastAsia="zh-CN" w:bidi="ar"/>
              </w:rPr>
              <w:t>/35#</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720209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3.14E-03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C7C455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2.43E-05</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BC9895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3.72E-04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733784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7.65E-06</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703EE9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3.55E-03</w:t>
            </w:r>
          </w:p>
        </w:tc>
      </w:tr>
      <w:tr w14:paraId="1EF16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BF3A3F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FF44A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蒙古砂</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6DE830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1.10E-03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AAB03E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9.65E-06</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29FFF6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5.38E-05</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19BCAB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2.09E-06</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6BD819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1.17E-03</w:t>
            </w:r>
          </w:p>
        </w:tc>
      </w:tr>
      <w:tr w14:paraId="330B3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4D28FE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0A00A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铸元素</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306D55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5.77E-03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5866B7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5.69E-05</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7D07E9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3.25E-04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B1B359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1.04E-05</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397835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6.17E-03</w:t>
            </w:r>
          </w:p>
        </w:tc>
      </w:tr>
      <w:tr w14:paraId="72719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54055A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59C91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环保覆膜砂</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A47F18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3.25E-03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B8BDD6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2.85E-05</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729494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1.59E-04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A33E15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6.17E-06</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9CEFAB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3.44E-03</w:t>
            </w:r>
          </w:p>
        </w:tc>
      </w:tr>
      <w:tr w14:paraId="37411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D9F709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4DDC0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塑粉/环氧树脂粉末涂料</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57AE08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5.17E-02</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3C5BDC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2.84E-04</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B829F4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9.99E-03</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F20F8A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1.72E-04</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045A98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6.21E-02</w:t>
            </w:r>
          </w:p>
        </w:tc>
      </w:tr>
      <w:tr w14:paraId="66183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EB5FC8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6D2CE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包装材料:纸箱</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E38B07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5.37E-03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B97516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1.56E-04</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74E9C8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8.73E-04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A52E2C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1.31E-05</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60C8AF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6.41E-03</w:t>
            </w:r>
          </w:p>
        </w:tc>
      </w:tr>
      <w:tr w14:paraId="36BEB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D3E624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1D82A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包装材料:珍珠棉</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DB279F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2.98E-03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37B3DB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1.87E-05</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50F921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6.80E-04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FC30E8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6.51E-06</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ED939F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3.69E-03</w:t>
            </w:r>
          </w:p>
        </w:tc>
      </w:tr>
      <w:tr w14:paraId="3C7C8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C52577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E77A4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包装材料：缠绕膜</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3749D2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1.92E-03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50CEFF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1.39E-05</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67775B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3.83E-04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087CB1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5.18E-06</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3AA4B5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2.32E-03</w:t>
            </w:r>
          </w:p>
        </w:tc>
      </w:tr>
      <w:tr w14:paraId="7DDF5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jc w:val="center"/>
        </w:trPr>
        <w:tc>
          <w:tcPr>
            <w:tcW w:w="990"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4C000C8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eastAsia" w:ascii="Times New Roman" w:hAnsi="Times New Roman" w:eastAsia="仿宋" w:cs="Times New Roman"/>
                <w:i w:val="0"/>
                <w:iCs w:val="0"/>
                <w:color w:val="000000"/>
                <w:kern w:val="0"/>
                <w:sz w:val="21"/>
                <w:szCs w:val="21"/>
                <w:u w:val="none"/>
                <w:lang w:val="en-US" w:eastAsia="zh-CN" w:bidi="ar"/>
              </w:rPr>
              <w:t>能源生产</w:t>
            </w: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DC9FF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电力</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36D0AC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1.39E+00</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DCF67B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1.60E-02</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BD81B6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1.52E-01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7DBD26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4.76E-04</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DF5573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1.56E+00</w:t>
            </w:r>
          </w:p>
        </w:tc>
      </w:tr>
      <w:tr w14:paraId="02B74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jc w:val="center"/>
        </w:trPr>
        <w:tc>
          <w:tcPr>
            <w:tcW w:w="990"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4410C57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eastAsia" w:ascii="Times New Roman" w:hAnsi="Times New Roman" w:eastAsia="仿宋" w:cs="Times New Roman"/>
                <w:i w:val="0"/>
                <w:iCs w:val="0"/>
                <w:color w:val="000000"/>
                <w:kern w:val="0"/>
                <w:sz w:val="21"/>
                <w:szCs w:val="21"/>
                <w:u w:val="none"/>
                <w:lang w:val="en-US" w:eastAsia="zh-CN" w:bidi="ar"/>
              </w:rPr>
              <w:t>运输</w:t>
            </w: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13C30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公路运输</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213909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7.39E-02</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513E93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5.43E-04</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D21CEB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2.09E-03</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77C920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6.16E-05</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7C2F49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7.66E-02</w:t>
            </w:r>
          </w:p>
        </w:tc>
      </w:tr>
      <w:tr w14:paraId="71467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4" w:hRule="atLeast"/>
          <w:jc w:val="center"/>
        </w:trPr>
        <w:tc>
          <w:tcPr>
            <w:tcW w:w="7913"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49EC4FC">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每功能单位产品碳足迹</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F1A45F3">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eastAsia" w:eastAsia="仿宋" w:cs="Times New Roman"/>
                <w:i w:val="0"/>
                <w:color w:val="000000"/>
                <w:kern w:val="0"/>
                <w:sz w:val="21"/>
                <w:szCs w:val="21"/>
                <w:u w:val="none"/>
                <w:lang w:val="en-US" w:eastAsia="zh-CN" w:bidi="ar"/>
              </w:rPr>
              <w:t>2.89</w:t>
            </w:r>
            <w:r>
              <w:rPr>
                <w:rFonts w:hint="default" w:ascii="Times New Roman" w:hAnsi="Times New Roman" w:eastAsia="仿宋" w:cs="Times New Roman"/>
                <w:i w:val="0"/>
                <w:color w:val="000000"/>
                <w:kern w:val="0"/>
                <w:sz w:val="21"/>
                <w:szCs w:val="21"/>
                <w:u w:val="none"/>
                <w:lang w:val="en-US" w:eastAsia="zh-CN" w:bidi="ar"/>
              </w:rPr>
              <w:t>E+0</w:t>
            </w:r>
            <w:r>
              <w:rPr>
                <w:rFonts w:hint="eastAsia" w:eastAsia="仿宋" w:cs="Times New Roman"/>
                <w:i w:val="0"/>
                <w:color w:val="000000"/>
                <w:kern w:val="0"/>
                <w:sz w:val="21"/>
                <w:szCs w:val="21"/>
                <w:u w:val="none"/>
                <w:lang w:val="en-US" w:eastAsia="zh-CN" w:bidi="ar"/>
              </w:rPr>
              <w:t>0</w:t>
            </w:r>
          </w:p>
        </w:tc>
      </w:tr>
    </w:tbl>
    <w:p w14:paraId="034FBCF6">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pPr>
      <w:r>
        <w:drawing>
          <wp:inline distT="0" distB="0" distL="114300" distR="114300">
            <wp:extent cx="4321175" cy="2178050"/>
            <wp:effectExtent l="4445" t="4445" r="17780" b="12065"/>
            <wp:docPr id="7"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4A18A5C">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 xml:space="preserve">图4  </w:t>
      </w:r>
      <w:r>
        <w:rPr>
          <w:rFonts w:hint="eastAsia" w:ascii="Times New Roman" w:hAnsi="Times New Roman" w:eastAsia="宋体" w:cs="Times New Roman"/>
          <w:snapToGrid w:val="0"/>
          <w:color w:val="000000"/>
          <w:spacing w:val="1"/>
          <w:kern w:val="0"/>
          <w:position w:val="17"/>
          <w:sz w:val="24"/>
          <w:szCs w:val="24"/>
          <w:lang w:val="en-US" w:eastAsia="zh-CN"/>
        </w:rPr>
        <w:t>软密封闸阀</w:t>
      </w:r>
      <w:r>
        <w:rPr>
          <w:rFonts w:hint="eastAsia" w:ascii="Times New Roman" w:hAnsi="Times New Roman" w:eastAsia="宋体" w:cs="Times New Roman"/>
          <w:spacing w:val="1"/>
          <w:position w:val="17"/>
          <w:sz w:val="24"/>
          <w:szCs w:val="24"/>
          <w:lang w:val="en-US" w:eastAsia="zh-CN"/>
        </w:rPr>
        <w:t>产品</w:t>
      </w:r>
      <w:r>
        <w:rPr>
          <w:rFonts w:hint="default" w:ascii="Times New Roman" w:hAnsi="Times New Roman" w:eastAsia="宋体" w:cs="Times New Roman"/>
          <w:snapToGrid w:val="0"/>
          <w:color w:val="000000"/>
          <w:spacing w:val="1"/>
          <w:kern w:val="0"/>
          <w:position w:val="17"/>
          <w:sz w:val="24"/>
          <w:szCs w:val="24"/>
          <w:lang w:val="en-US" w:eastAsia="zh-CN"/>
        </w:rPr>
        <w:t>各生命周期阶段对碳足迹的贡献比例</w:t>
      </w:r>
    </w:p>
    <w:p w14:paraId="28CC76BF">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default" w:ascii="Times New Roman" w:hAnsi="Times New Roman" w:eastAsia="宋体" w:cs="Times New Roman"/>
          <w:spacing w:val="1"/>
          <w:position w:val="17"/>
          <w:sz w:val="24"/>
          <w:szCs w:val="24"/>
          <w:highlight w:val="none"/>
          <w:lang w:val="en-US" w:eastAsia="zh-CN"/>
        </w:rPr>
      </w:pPr>
      <w:r>
        <w:rPr>
          <w:rFonts w:hint="eastAsia" w:ascii="Times New Roman" w:hAnsi="Times New Roman" w:eastAsia="宋体" w:cs="Times New Roman"/>
          <w:spacing w:val="1"/>
          <w:position w:val="17"/>
          <w:sz w:val="24"/>
          <w:szCs w:val="24"/>
          <w:highlight w:val="none"/>
          <w:lang w:val="en-US" w:eastAsia="zh-CN"/>
        </w:rPr>
        <w:t>3.2 球阀</w:t>
      </w:r>
    </w:p>
    <w:p w14:paraId="5830705B">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default" w:ascii="Times New Roman" w:hAnsi="Times New Roman" w:eastAsia="宋体" w:cs="Times New Roman"/>
          <w:spacing w:val="1"/>
          <w:position w:val="17"/>
          <w:sz w:val="24"/>
          <w:szCs w:val="24"/>
          <w:highlight w:val="none"/>
          <w:lang w:val="en-US" w:eastAsia="zh-CN"/>
        </w:rPr>
      </w:pPr>
      <w:r>
        <w:rPr>
          <w:rFonts w:hint="eastAsia" w:ascii="Times New Roman" w:hAnsi="Times New Roman" w:eastAsia="宋体" w:cs="Times New Roman"/>
          <w:spacing w:val="1"/>
          <w:position w:val="17"/>
          <w:sz w:val="24"/>
          <w:szCs w:val="24"/>
          <w:highlight w:val="none"/>
          <w:lang w:val="en-US" w:eastAsia="zh-CN"/>
        </w:rPr>
        <w:t>3.2</w:t>
      </w:r>
      <w:r>
        <w:rPr>
          <w:rFonts w:hint="default" w:ascii="Times New Roman" w:hAnsi="Times New Roman" w:eastAsia="宋体" w:cs="Times New Roman"/>
          <w:spacing w:val="1"/>
          <w:position w:val="17"/>
          <w:sz w:val="24"/>
          <w:szCs w:val="24"/>
          <w:highlight w:val="none"/>
          <w:lang w:val="en-US" w:eastAsia="zh-CN"/>
        </w:rPr>
        <w:t>.</w:t>
      </w:r>
      <w:r>
        <w:rPr>
          <w:rFonts w:hint="eastAsia" w:ascii="Times New Roman" w:hAnsi="Times New Roman" w:eastAsia="宋体" w:cs="Times New Roman"/>
          <w:spacing w:val="1"/>
          <w:position w:val="17"/>
          <w:sz w:val="24"/>
          <w:szCs w:val="24"/>
          <w:highlight w:val="none"/>
          <w:lang w:val="en-US" w:eastAsia="zh-CN"/>
        </w:rPr>
        <w:t xml:space="preserve">1 </w:t>
      </w:r>
      <w:r>
        <w:rPr>
          <w:rFonts w:hint="default" w:ascii="Times New Roman" w:hAnsi="Times New Roman" w:eastAsia="宋体" w:cs="Times New Roman"/>
          <w:spacing w:val="1"/>
          <w:position w:val="17"/>
          <w:sz w:val="24"/>
          <w:szCs w:val="24"/>
          <w:highlight w:val="none"/>
          <w:lang w:val="en-US" w:eastAsia="zh-CN"/>
        </w:rPr>
        <w:t>产品</w:t>
      </w:r>
      <w:r>
        <w:rPr>
          <w:rFonts w:hint="eastAsia" w:ascii="Times New Roman" w:hAnsi="Times New Roman" w:eastAsia="宋体" w:cs="Times New Roman"/>
          <w:spacing w:val="1"/>
          <w:position w:val="17"/>
          <w:sz w:val="24"/>
          <w:szCs w:val="24"/>
          <w:highlight w:val="none"/>
          <w:lang w:val="en-US" w:eastAsia="zh-CN"/>
        </w:rPr>
        <w:t>描述</w:t>
      </w:r>
    </w:p>
    <w:p w14:paraId="085CF66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napToGrid w:val="0"/>
          <w:color w:val="000000"/>
          <w:spacing w:val="1"/>
          <w:kern w:val="0"/>
          <w:position w:val="17"/>
          <w:sz w:val="24"/>
          <w:szCs w:val="24"/>
          <w:lang w:val="en-US" w:eastAsia="zh-CN"/>
        </w:rPr>
      </w:pPr>
      <w:r>
        <w:rPr>
          <w:rFonts w:hint="default" w:ascii="Times New Roman" w:hAnsi="Times New Roman" w:eastAsia="宋体" w:cs="Times New Roman"/>
          <w:snapToGrid w:val="0"/>
          <w:color w:val="000000"/>
          <w:spacing w:val="1"/>
          <w:kern w:val="0"/>
          <w:position w:val="17"/>
          <w:sz w:val="24"/>
          <w:szCs w:val="24"/>
          <w:lang w:val="en-US" w:eastAsia="zh-CN"/>
        </w:rPr>
        <w:t>产品名称：</w:t>
      </w:r>
      <w:r>
        <w:rPr>
          <w:rFonts w:hint="eastAsia" w:ascii="Times New Roman" w:hAnsi="Times New Roman" w:eastAsia="宋体" w:cs="Times New Roman"/>
          <w:snapToGrid w:val="0"/>
          <w:color w:val="000000"/>
          <w:spacing w:val="1"/>
          <w:kern w:val="0"/>
          <w:position w:val="17"/>
          <w:sz w:val="24"/>
          <w:szCs w:val="24"/>
          <w:lang w:val="en-US" w:eastAsia="zh-CN"/>
        </w:rPr>
        <w:t>球阀 ；</w:t>
      </w:r>
    </w:p>
    <w:p w14:paraId="0852E32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napToGrid w:val="0"/>
          <w:color w:val="000000"/>
          <w:spacing w:val="1"/>
          <w:kern w:val="0"/>
          <w:position w:val="17"/>
          <w:sz w:val="24"/>
          <w:szCs w:val="24"/>
          <w:lang w:val="en-US" w:eastAsia="zh-CN"/>
        </w:rPr>
      </w:pPr>
      <w:r>
        <w:rPr>
          <w:rFonts w:hint="default" w:ascii="Times New Roman" w:hAnsi="Times New Roman" w:eastAsia="宋体" w:cs="Times New Roman"/>
          <w:snapToGrid w:val="0"/>
          <w:color w:val="000000"/>
          <w:spacing w:val="1"/>
          <w:kern w:val="0"/>
          <w:position w:val="17"/>
          <w:sz w:val="24"/>
          <w:szCs w:val="24"/>
          <w:lang w:val="en-US" w:eastAsia="zh-CN"/>
        </w:rPr>
        <w:t>产品规格型号：球阀（DN15</w:t>
      </w:r>
      <w:r>
        <w:rPr>
          <w:rFonts w:hint="eastAsia" w:ascii="Times New Roman" w:hAnsi="Times New Roman" w:eastAsia="宋体" w:cs="Times New Roman"/>
          <w:snapToGrid w:val="0"/>
          <w:color w:val="000000"/>
          <w:spacing w:val="1"/>
          <w:kern w:val="0"/>
          <w:position w:val="17"/>
          <w:sz w:val="24"/>
          <w:szCs w:val="24"/>
          <w:lang w:val="en-US" w:eastAsia="zh-CN"/>
        </w:rPr>
        <w:t>～</w:t>
      </w:r>
      <w:r>
        <w:rPr>
          <w:rFonts w:hint="default" w:ascii="Times New Roman" w:hAnsi="Times New Roman" w:eastAsia="宋体" w:cs="Times New Roman"/>
          <w:snapToGrid w:val="0"/>
          <w:color w:val="000000"/>
          <w:spacing w:val="1"/>
          <w:kern w:val="0"/>
          <w:position w:val="17"/>
          <w:sz w:val="24"/>
          <w:szCs w:val="24"/>
          <w:lang w:val="en-US" w:eastAsia="zh-CN"/>
        </w:rPr>
        <w:t>DN50</w:t>
      </w:r>
      <w:r>
        <w:rPr>
          <w:rFonts w:hint="eastAsia" w:ascii="Times New Roman" w:hAnsi="Times New Roman" w:eastAsia="宋体" w:cs="Times New Roman"/>
          <w:snapToGrid w:val="0"/>
          <w:color w:val="000000"/>
          <w:spacing w:val="1"/>
          <w:kern w:val="0"/>
          <w:position w:val="17"/>
          <w:sz w:val="24"/>
          <w:szCs w:val="24"/>
          <w:lang w:val="en-US" w:eastAsia="zh-CN"/>
        </w:rPr>
        <w:t>）</w:t>
      </w:r>
    </w:p>
    <w:p w14:paraId="12D1EDE0">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default"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3.2.2 量化</w:t>
      </w:r>
      <w:r>
        <w:rPr>
          <w:rFonts w:hint="default" w:ascii="Times New Roman" w:hAnsi="Times New Roman" w:eastAsia="宋体" w:cs="Times New Roman"/>
          <w:spacing w:val="1"/>
          <w:position w:val="17"/>
          <w:sz w:val="24"/>
          <w:szCs w:val="24"/>
          <w:lang w:val="en-US" w:eastAsia="zh-CN"/>
        </w:rPr>
        <w:t>目的</w:t>
      </w:r>
    </w:p>
    <w:p w14:paraId="776C6D3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napToGrid w:val="0"/>
          <w:color w:val="000000"/>
          <w:spacing w:val="1"/>
          <w:kern w:val="0"/>
          <w:position w:val="17"/>
          <w:sz w:val="24"/>
          <w:szCs w:val="24"/>
          <w:lang w:val="en-US" w:eastAsia="zh-CN"/>
        </w:rPr>
        <w:t>通过</w:t>
      </w:r>
      <w:r>
        <w:rPr>
          <w:rFonts w:hint="default" w:ascii="Times New Roman" w:hAnsi="Times New Roman" w:eastAsia="宋体" w:cs="Times New Roman"/>
          <w:snapToGrid w:val="0"/>
          <w:color w:val="000000"/>
          <w:spacing w:val="1"/>
          <w:kern w:val="0"/>
          <w:position w:val="17"/>
          <w:sz w:val="24"/>
          <w:szCs w:val="24"/>
          <w:lang w:val="en-US" w:eastAsia="zh-CN"/>
        </w:rPr>
        <w:t>量化</w:t>
      </w:r>
      <w:r>
        <w:rPr>
          <w:rFonts w:hint="eastAsia" w:ascii="Times New Roman" w:hAnsi="Times New Roman" w:eastAsia="宋体" w:cs="Times New Roman"/>
          <w:snapToGrid w:val="0"/>
          <w:color w:val="000000"/>
          <w:spacing w:val="1"/>
          <w:kern w:val="0"/>
          <w:position w:val="17"/>
          <w:sz w:val="24"/>
          <w:szCs w:val="24"/>
          <w:lang w:val="en-US" w:eastAsia="zh-CN"/>
        </w:rPr>
        <w:t>建筑阀门</w:t>
      </w:r>
      <w:r>
        <w:rPr>
          <w:rFonts w:hint="default" w:ascii="Times New Roman" w:hAnsi="Times New Roman" w:eastAsia="宋体" w:cs="Times New Roman"/>
          <w:snapToGrid w:val="0"/>
          <w:color w:val="000000"/>
          <w:spacing w:val="1"/>
          <w:kern w:val="0"/>
          <w:position w:val="17"/>
          <w:sz w:val="24"/>
          <w:szCs w:val="24"/>
          <w:lang w:val="en-US" w:eastAsia="zh-CN"/>
        </w:rPr>
        <w:t>产品生命周期或选定</w:t>
      </w:r>
      <w:r>
        <w:rPr>
          <w:rFonts w:hint="eastAsia" w:ascii="Times New Roman" w:hAnsi="Times New Roman" w:eastAsia="宋体" w:cs="Times New Roman"/>
          <w:snapToGrid w:val="0"/>
          <w:color w:val="000000"/>
          <w:spacing w:val="1"/>
          <w:kern w:val="0"/>
          <w:position w:val="17"/>
          <w:sz w:val="24"/>
          <w:szCs w:val="24"/>
          <w:lang w:val="en-US" w:eastAsia="zh-CN"/>
        </w:rPr>
        <w:t>阶段</w:t>
      </w:r>
      <w:r>
        <w:rPr>
          <w:rFonts w:hint="default" w:ascii="Times New Roman" w:hAnsi="Times New Roman" w:eastAsia="宋体" w:cs="Times New Roman"/>
          <w:snapToGrid w:val="0"/>
          <w:color w:val="000000"/>
          <w:spacing w:val="1"/>
          <w:kern w:val="0"/>
          <w:position w:val="17"/>
          <w:sz w:val="24"/>
          <w:szCs w:val="24"/>
          <w:lang w:val="en-US" w:eastAsia="zh-CN"/>
        </w:rPr>
        <w:t>的温室气体排放量和清除量（以二氧化碳当量表示），</w:t>
      </w:r>
      <w:r>
        <w:rPr>
          <w:rFonts w:hint="eastAsia" w:ascii="Times New Roman" w:hAnsi="Times New Roman" w:eastAsia="宋体" w:cs="Times New Roman"/>
          <w:snapToGrid w:val="0"/>
          <w:color w:val="000000"/>
          <w:spacing w:val="1"/>
          <w:kern w:val="0"/>
          <w:position w:val="17"/>
          <w:sz w:val="24"/>
          <w:szCs w:val="24"/>
          <w:lang w:val="en-US" w:eastAsia="zh-CN"/>
        </w:rPr>
        <w:t>评价产品对气候变化的潜在影响；用于生产者与上下游供应链或消费者之间的温室气体排放信息沟通；用于生产者降低产品碳足迹的设计与改进以及同类产品间的对比</w:t>
      </w:r>
      <w:r>
        <w:rPr>
          <w:rFonts w:hint="default" w:ascii="Times New Roman" w:hAnsi="Times New Roman" w:eastAsia="宋体" w:cs="Times New Roman"/>
          <w:spacing w:val="1"/>
          <w:position w:val="17"/>
          <w:sz w:val="24"/>
          <w:szCs w:val="24"/>
          <w:lang w:val="en-US" w:eastAsia="zh-CN"/>
        </w:rPr>
        <w:t>。</w:t>
      </w:r>
    </w:p>
    <w:p w14:paraId="5806F2AA">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default" w:ascii="Times New Roman" w:hAnsi="Times New Roman" w:eastAsia="宋体" w:cs="Times New Roman"/>
          <w:spacing w:val="1"/>
          <w:position w:val="17"/>
          <w:sz w:val="24"/>
          <w:szCs w:val="24"/>
          <w:highlight w:val="none"/>
          <w:lang w:val="en-US" w:eastAsia="zh-CN"/>
        </w:rPr>
      </w:pPr>
      <w:r>
        <w:rPr>
          <w:rFonts w:hint="eastAsia" w:ascii="Times New Roman" w:hAnsi="Times New Roman" w:eastAsia="宋体" w:cs="Times New Roman"/>
          <w:spacing w:val="1"/>
          <w:position w:val="17"/>
          <w:sz w:val="24"/>
          <w:szCs w:val="24"/>
          <w:highlight w:val="none"/>
          <w:lang w:val="en-US" w:eastAsia="zh-CN"/>
        </w:rPr>
        <w:t>3.2.3 量化范围</w:t>
      </w:r>
    </w:p>
    <w:p w14:paraId="6C45E2B1">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default" w:ascii="Times New Roman" w:hAnsi="Times New Roman" w:eastAsia="宋体" w:cs="Times New Roman"/>
          <w:spacing w:val="1"/>
          <w:position w:val="17"/>
          <w:sz w:val="24"/>
          <w:szCs w:val="24"/>
          <w:highlight w:val="none"/>
          <w:lang w:val="en-US" w:eastAsia="zh-CN"/>
        </w:rPr>
      </w:pPr>
      <w:r>
        <w:rPr>
          <w:rFonts w:hint="eastAsia" w:ascii="Times New Roman" w:hAnsi="Times New Roman" w:eastAsia="宋体" w:cs="Times New Roman"/>
          <w:snapToGrid w:val="0"/>
          <w:color w:val="000000"/>
          <w:spacing w:val="1"/>
          <w:kern w:val="0"/>
          <w:position w:val="17"/>
          <w:sz w:val="24"/>
          <w:szCs w:val="24"/>
          <w:highlight w:val="none"/>
          <w:lang w:val="en-US" w:eastAsia="zh-CN"/>
        </w:rPr>
        <w:t>3.2.3.1 声明单位</w:t>
      </w:r>
    </w:p>
    <w:p w14:paraId="3CF25B4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 xml:space="preserve">——生产 </w:t>
      </w:r>
      <w:r>
        <w:rPr>
          <w:rFonts w:hint="default" w:ascii="Times New Roman" w:hAnsi="Times New Roman" w:eastAsia="宋体" w:cs="Times New Roman"/>
          <w:spacing w:val="1"/>
          <w:position w:val="17"/>
          <w:sz w:val="24"/>
          <w:szCs w:val="24"/>
          <w:lang w:val="en-US" w:eastAsia="zh-CN"/>
        </w:rPr>
        <w:t xml:space="preserve">1 </w:t>
      </w:r>
      <w:r>
        <w:rPr>
          <w:rFonts w:hint="eastAsia" w:ascii="Times New Roman" w:hAnsi="Times New Roman" w:eastAsia="宋体" w:cs="Times New Roman"/>
          <w:spacing w:val="1"/>
          <w:position w:val="17"/>
          <w:sz w:val="24"/>
          <w:szCs w:val="24"/>
          <w:lang w:val="en-US" w:eastAsia="zh-CN"/>
        </w:rPr>
        <w:t>只球阀</w:t>
      </w:r>
      <w:r>
        <w:rPr>
          <w:rFonts w:hint="default" w:ascii="Times New Roman" w:hAnsi="Times New Roman" w:eastAsia="宋体" w:cs="Times New Roman"/>
          <w:spacing w:val="1"/>
          <w:position w:val="17"/>
          <w:sz w:val="24"/>
          <w:szCs w:val="24"/>
          <w:lang w:val="en-US" w:eastAsia="zh-CN"/>
        </w:rPr>
        <w:t>产品</w:t>
      </w:r>
      <w:r>
        <w:rPr>
          <w:rFonts w:hint="eastAsia" w:ascii="Times New Roman" w:hAnsi="Times New Roman" w:eastAsia="宋体" w:cs="Times New Roman"/>
          <w:spacing w:val="1"/>
          <w:position w:val="17"/>
          <w:sz w:val="24"/>
          <w:szCs w:val="24"/>
          <w:lang w:val="en-US" w:eastAsia="zh-CN"/>
        </w:rPr>
        <w:t>；</w:t>
      </w:r>
    </w:p>
    <w:p w14:paraId="32ED651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w:t>
      </w:r>
      <w:r>
        <w:rPr>
          <w:rFonts w:hint="eastAsia" w:ascii="Times New Roman" w:hAnsi="Times New Roman" w:eastAsia="宋体" w:cs="Times New Roman"/>
          <w:snapToGrid w:val="0"/>
          <w:color w:val="000000"/>
          <w:spacing w:val="1"/>
          <w:kern w:val="0"/>
          <w:position w:val="17"/>
          <w:sz w:val="24"/>
          <w:szCs w:val="24"/>
          <w:lang w:val="en-US" w:eastAsia="zh-CN"/>
        </w:rPr>
        <w:t>主要性能指标或规格参数：</w:t>
      </w:r>
      <w:r>
        <w:rPr>
          <w:rFonts w:hint="default" w:ascii="Times New Roman" w:hAnsi="Times New Roman" w:eastAsia="宋体" w:cs="Times New Roman"/>
          <w:snapToGrid w:val="0"/>
          <w:color w:val="000000"/>
          <w:spacing w:val="1"/>
          <w:kern w:val="0"/>
          <w:position w:val="17"/>
          <w:sz w:val="24"/>
          <w:szCs w:val="24"/>
          <w:lang w:val="en-US" w:eastAsia="zh-CN"/>
        </w:rPr>
        <w:t>球阀（DN15</w:t>
      </w:r>
      <w:r>
        <w:rPr>
          <w:rFonts w:hint="eastAsia" w:ascii="Times New Roman" w:hAnsi="Times New Roman" w:eastAsia="宋体" w:cs="Times New Roman"/>
          <w:snapToGrid w:val="0"/>
          <w:color w:val="000000"/>
          <w:spacing w:val="1"/>
          <w:kern w:val="0"/>
          <w:position w:val="17"/>
          <w:sz w:val="24"/>
          <w:szCs w:val="24"/>
          <w:lang w:val="en-US" w:eastAsia="zh-CN"/>
        </w:rPr>
        <w:t>～</w:t>
      </w:r>
      <w:r>
        <w:rPr>
          <w:rFonts w:hint="default" w:ascii="Times New Roman" w:hAnsi="Times New Roman" w:eastAsia="宋体" w:cs="Times New Roman"/>
          <w:snapToGrid w:val="0"/>
          <w:color w:val="000000"/>
          <w:spacing w:val="1"/>
          <w:kern w:val="0"/>
          <w:position w:val="17"/>
          <w:sz w:val="24"/>
          <w:szCs w:val="24"/>
          <w:lang w:val="en-US" w:eastAsia="zh-CN"/>
        </w:rPr>
        <w:t>DN50</w:t>
      </w:r>
      <w:r>
        <w:rPr>
          <w:rFonts w:hint="eastAsia" w:ascii="Times New Roman" w:hAnsi="Times New Roman" w:eastAsia="宋体" w:cs="Times New Roman"/>
          <w:snapToGrid w:val="0"/>
          <w:color w:val="000000"/>
          <w:spacing w:val="1"/>
          <w:kern w:val="0"/>
          <w:position w:val="17"/>
          <w:sz w:val="24"/>
          <w:szCs w:val="24"/>
          <w:lang w:val="en-US" w:eastAsia="zh-CN"/>
        </w:rPr>
        <w:t>）</w:t>
      </w:r>
      <w:r>
        <w:rPr>
          <w:rFonts w:hint="default" w:ascii="Times New Roman" w:hAnsi="Times New Roman" w:eastAsia="宋体" w:cs="Times New Roman"/>
          <w:spacing w:val="1"/>
          <w:position w:val="17"/>
          <w:sz w:val="24"/>
          <w:szCs w:val="24"/>
          <w:lang w:val="en-US" w:eastAsia="zh-CN"/>
        </w:rPr>
        <w:t>。</w:t>
      </w:r>
    </w:p>
    <w:p w14:paraId="732BA36F">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default"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 xml:space="preserve">3.2.3.2 </w:t>
      </w:r>
      <w:r>
        <w:rPr>
          <w:rFonts w:hint="default" w:ascii="Times New Roman" w:hAnsi="Times New Roman" w:eastAsia="宋体" w:cs="Times New Roman"/>
          <w:spacing w:val="1"/>
          <w:position w:val="17"/>
          <w:sz w:val="24"/>
          <w:szCs w:val="24"/>
          <w:lang w:val="en-US" w:eastAsia="zh-CN"/>
        </w:rPr>
        <w:t>系统边界</w:t>
      </w:r>
    </w:p>
    <w:p w14:paraId="6F55493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界定系统边界为</w:t>
      </w:r>
      <w:r>
        <w:rPr>
          <w:rFonts w:hint="eastAsia" w:ascii="Times New Roman" w:hAnsi="Times New Roman" w:eastAsia="宋体" w:cs="Times New Roman"/>
          <w:spacing w:val="1"/>
          <w:position w:val="17"/>
          <w:sz w:val="24"/>
          <w:szCs w:val="24"/>
          <w:lang w:val="en-US" w:eastAsia="zh-CN"/>
        </w:rPr>
        <w:t>“</w:t>
      </w:r>
      <w:r>
        <w:rPr>
          <w:rFonts w:hint="default" w:ascii="Times New Roman" w:hAnsi="Times New Roman" w:eastAsia="宋体" w:cs="Times New Roman"/>
          <w:spacing w:val="1"/>
          <w:position w:val="17"/>
          <w:sz w:val="24"/>
          <w:szCs w:val="24"/>
          <w:lang w:val="en-US" w:eastAsia="zh-CN"/>
        </w:rPr>
        <w:t>从摇篮到大门</w:t>
      </w:r>
      <w:r>
        <w:rPr>
          <w:rFonts w:hint="eastAsia" w:ascii="Times New Roman" w:hAnsi="Times New Roman" w:eastAsia="宋体" w:cs="Times New Roman"/>
          <w:spacing w:val="1"/>
          <w:position w:val="17"/>
          <w:sz w:val="24"/>
          <w:szCs w:val="24"/>
          <w:lang w:val="en-US" w:eastAsia="zh-CN"/>
        </w:rPr>
        <w:t>”</w:t>
      </w:r>
      <w:r>
        <w:rPr>
          <w:rFonts w:hint="default" w:ascii="Times New Roman" w:hAnsi="Times New Roman" w:eastAsia="宋体" w:cs="Times New Roman"/>
          <w:spacing w:val="1"/>
          <w:position w:val="17"/>
          <w:sz w:val="24"/>
          <w:szCs w:val="24"/>
          <w:lang w:val="en-US" w:eastAsia="zh-CN"/>
        </w:rPr>
        <w:t>的生命周期过程（见图</w:t>
      </w:r>
      <w:r>
        <w:rPr>
          <w:rFonts w:hint="eastAsia" w:ascii="Times New Roman" w:hAnsi="Times New Roman" w:eastAsia="宋体" w:cs="Times New Roman"/>
          <w:spacing w:val="1"/>
          <w:position w:val="17"/>
          <w:sz w:val="24"/>
          <w:szCs w:val="24"/>
          <w:lang w:val="en-US" w:eastAsia="zh-CN"/>
        </w:rPr>
        <w:t>5</w:t>
      </w:r>
      <w:r>
        <w:rPr>
          <w:rFonts w:hint="default" w:ascii="Times New Roman" w:hAnsi="Times New Roman" w:eastAsia="宋体" w:cs="Times New Roman"/>
          <w:spacing w:val="1"/>
          <w:position w:val="17"/>
          <w:sz w:val="24"/>
          <w:szCs w:val="24"/>
          <w:lang w:val="en-US" w:eastAsia="zh-CN"/>
        </w:rPr>
        <w:t>），从原料与能源获取、运输、产品生产到产品出厂为止，不包括产品的使用和废弃阶段。</w:t>
      </w:r>
    </w:p>
    <w:tbl>
      <w:tblPr>
        <w:tblStyle w:val="14"/>
        <w:tblW w:w="4221"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44"/>
        <w:gridCol w:w="1444"/>
        <w:gridCol w:w="1444"/>
        <w:gridCol w:w="1444"/>
        <w:gridCol w:w="1444"/>
      </w:tblGrid>
      <w:tr w14:paraId="68DF7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3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8792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rPr>
            </w:pPr>
            <w:r>
              <w:rPr>
                <w:rFonts w:hint="default" w:ascii="Times New Roman" w:hAnsi="Times New Roman" w:eastAsia="宋体" w:cs="Times New Roman"/>
                <w:i w:val="0"/>
                <w:iCs w:val="0"/>
                <w:color w:val="000000"/>
                <w:kern w:val="0"/>
                <w:sz w:val="21"/>
                <w:szCs w:val="21"/>
                <w:highlight w:val="none"/>
                <w:u w:val="none"/>
                <w:lang w:val="en-US" w:eastAsia="zh-CN" w:bidi="ar"/>
              </w:rPr>
              <w:t>A1-A3</w:t>
            </w:r>
          </w:p>
        </w:tc>
        <w:tc>
          <w:tcPr>
            <w:tcW w:w="20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FDE6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lang w:val="en-US"/>
              </w:rPr>
            </w:pPr>
            <w:r>
              <w:rPr>
                <w:rFonts w:hint="default" w:ascii="Times New Roman" w:hAnsi="Times New Roman" w:eastAsia="宋体" w:cs="Times New Roman"/>
                <w:i w:val="0"/>
                <w:iCs w:val="0"/>
                <w:color w:val="000000"/>
                <w:kern w:val="0"/>
                <w:sz w:val="21"/>
                <w:szCs w:val="21"/>
                <w:highlight w:val="none"/>
                <w:u w:val="none"/>
                <w:lang w:val="en-US" w:eastAsia="zh-CN" w:bidi="ar"/>
              </w:rPr>
              <w:t>B1-B2</w:t>
            </w:r>
          </w:p>
        </w:tc>
      </w:tr>
      <w:tr w14:paraId="14509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3" w:hRule="atLeast"/>
          <w:jc w:val="center"/>
        </w:trPr>
        <w:tc>
          <w:tcPr>
            <w:tcW w:w="3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B2CC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rPr>
            </w:pPr>
            <w:r>
              <w:rPr>
                <w:rFonts w:hint="default" w:ascii="Times New Roman" w:hAnsi="Times New Roman" w:eastAsia="宋体" w:cs="Times New Roman"/>
                <w:i w:val="0"/>
                <w:iCs w:val="0"/>
                <w:color w:val="000000"/>
                <w:kern w:val="0"/>
                <w:sz w:val="21"/>
                <w:szCs w:val="21"/>
                <w:highlight w:val="none"/>
                <w:u w:val="none"/>
                <w:lang w:val="en-US" w:eastAsia="zh-CN" w:bidi="ar"/>
              </w:rPr>
              <w:t>原料与能源获取阶段</w:t>
            </w:r>
          </w:p>
        </w:tc>
        <w:tc>
          <w:tcPr>
            <w:tcW w:w="20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6CF8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rPr>
            </w:pPr>
            <w:r>
              <w:rPr>
                <w:rFonts w:hint="default" w:ascii="Times New Roman" w:hAnsi="Times New Roman" w:eastAsia="宋体" w:cs="Times New Roman"/>
                <w:i w:val="0"/>
                <w:iCs w:val="0"/>
                <w:color w:val="000000"/>
                <w:kern w:val="0"/>
                <w:sz w:val="21"/>
                <w:szCs w:val="21"/>
                <w:highlight w:val="none"/>
                <w:u w:val="none"/>
                <w:lang w:val="en-US" w:eastAsia="zh-CN" w:bidi="ar"/>
              </w:rPr>
              <w:t>产品生产阶段</w:t>
            </w:r>
          </w:p>
        </w:tc>
      </w:tr>
      <w:tr w14:paraId="0D276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jc w:val="center"/>
        </w:trPr>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2657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rPr>
            </w:pPr>
            <w:r>
              <w:rPr>
                <w:rFonts w:hint="default" w:ascii="Times New Roman" w:hAnsi="Times New Roman" w:eastAsia="宋体" w:cs="Times New Roman"/>
                <w:i w:val="0"/>
                <w:iCs w:val="0"/>
                <w:color w:val="000000"/>
                <w:kern w:val="0"/>
                <w:sz w:val="21"/>
                <w:szCs w:val="21"/>
                <w:highlight w:val="none"/>
                <w:u w:val="none"/>
                <w:lang w:val="en-US" w:eastAsia="zh-CN" w:bidi="ar"/>
              </w:rPr>
              <w:t>A1</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0A3F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rPr>
            </w:pPr>
            <w:r>
              <w:rPr>
                <w:rFonts w:hint="default" w:ascii="Times New Roman" w:hAnsi="Times New Roman" w:eastAsia="宋体" w:cs="Times New Roman"/>
                <w:i w:val="0"/>
                <w:iCs w:val="0"/>
                <w:color w:val="000000"/>
                <w:kern w:val="0"/>
                <w:sz w:val="21"/>
                <w:szCs w:val="21"/>
                <w:highlight w:val="none"/>
                <w:u w:val="none"/>
                <w:lang w:val="en-US" w:eastAsia="zh-CN" w:bidi="ar"/>
              </w:rPr>
              <w:t>A2</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6C64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rPr>
            </w:pPr>
            <w:r>
              <w:rPr>
                <w:rFonts w:hint="default" w:ascii="Times New Roman" w:hAnsi="Times New Roman" w:eastAsia="宋体" w:cs="Times New Roman"/>
                <w:i w:val="0"/>
                <w:iCs w:val="0"/>
                <w:color w:val="000000"/>
                <w:kern w:val="0"/>
                <w:sz w:val="21"/>
                <w:szCs w:val="21"/>
                <w:highlight w:val="none"/>
                <w:u w:val="none"/>
                <w:lang w:val="en-US" w:eastAsia="zh-CN" w:bidi="ar"/>
              </w:rPr>
              <w:t>A3</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2378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lang w:val="en-US" w:eastAsia="zh-CN"/>
              </w:rPr>
            </w:pPr>
            <w:r>
              <w:rPr>
                <w:rFonts w:hint="default" w:ascii="Times New Roman" w:hAnsi="Times New Roman" w:eastAsia="宋体" w:cs="Times New Roman"/>
                <w:i w:val="0"/>
                <w:iCs w:val="0"/>
                <w:color w:val="000000"/>
                <w:sz w:val="21"/>
                <w:szCs w:val="21"/>
                <w:highlight w:val="none"/>
                <w:u w:val="none"/>
                <w:lang w:val="en-US" w:eastAsia="zh-CN"/>
              </w:rPr>
              <w:t>B1</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40E0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lang w:val="en-US" w:eastAsia="zh-CN"/>
              </w:rPr>
            </w:pPr>
            <w:r>
              <w:rPr>
                <w:rFonts w:hint="default" w:ascii="Times New Roman" w:hAnsi="Times New Roman" w:eastAsia="宋体" w:cs="Times New Roman"/>
                <w:i w:val="0"/>
                <w:iCs w:val="0"/>
                <w:color w:val="000000"/>
                <w:sz w:val="21"/>
                <w:szCs w:val="21"/>
                <w:highlight w:val="none"/>
                <w:u w:val="none"/>
                <w:lang w:val="en-US" w:eastAsia="zh-CN"/>
              </w:rPr>
              <w:t>B2</w:t>
            </w:r>
          </w:p>
        </w:tc>
      </w:tr>
      <w:tr w14:paraId="7D793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4" w:hRule="atLeast"/>
          <w:jc w:val="center"/>
        </w:trPr>
        <w:tc>
          <w:tcPr>
            <w:tcW w:w="1000" w:type="pct"/>
            <w:tcBorders>
              <w:top w:val="single" w:color="000000" w:sz="4" w:space="0"/>
              <w:left w:val="single" w:color="auto" w:sz="4" w:space="0"/>
              <w:bottom w:val="single" w:color="000000" w:sz="4" w:space="0"/>
              <w:right w:val="single" w:color="000000" w:sz="4" w:space="0"/>
            </w:tcBorders>
            <w:shd w:val="clear" w:color="auto" w:fill="auto"/>
            <w:vAlign w:val="center"/>
          </w:tcPr>
          <w:p w14:paraId="7365004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rPr>
            </w:pPr>
            <w:r>
              <w:rPr>
                <w:rFonts w:hint="default" w:ascii="Times New Roman" w:hAnsi="Times New Roman" w:eastAsia="宋体" w:cs="Times New Roman"/>
                <w:i w:val="0"/>
                <w:iCs w:val="0"/>
                <w:color w:val="000000"/>
                <w:kern w:val="0"/>
                <w:sz w:val="21"/>
                <w:szCs w:val="21"/>
                <w:highlight w:val="none"/>
                <w:u w:val="none"/>
                <w:lang w:val="en-US" w:eastAsia="zh-CN" w:bidi="ar"/>
              </w:rPr>
              <w:t>原料获取</w:t>
            </w: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9C43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lang w:val="en-US" w:eastAsia="zh-CN"/>
              </w:rPr>
            </w:pPr>
            <w:r>
              <w:rPr>
                <w:rFonts w:hint="default" w:ascii="Times New Roman" w:hAnsi="Times New Roman" w:eastAsia="宋体" w:cs="Times New Roman"/>
                <w:i w:val="0"/>
                <w:iCs w:val="0"/>
                <w:color w:val="000000"/>
                <w:sz w:val="21"/>
                <w:szCs w:val="21"/>
                <w:highlight w:val="none"/>
                <w:u w:val="none"/>
                <w:lang w:val="en-US" w:eastAsia="zh-CN"/>
              </w:rPr>
              <w:t>能源获取</w:t>
            </w: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CBB2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1"/>
                <w:szCs w:val="21"/>
                <w:highlight w:val="none"/>
                <w:u w:val="none"/>
                <w:lang w:val="en-US" w:eastAsia="zh-CN"/>
              </w:rPr>
            </w:pPr>
            <w:r>
              <w:rPr>
                <w:rFonts w:hint="default" w:ascii="Times New Roman" w:hAnsi="Times New Roman" w:cs="Times New Roman"/>
                <w:b w:val="0"/>
                <w:bCs w:val="0"/>
                <w:i w:val="0"/>
                <w:iCs w:val="0"/>
                <w:color w:val="000000"/>
                <w:sz w:val="21"/>
                <w:szCs w:val="21"/>
                <w:highlight w:val="none"/>
                <w:u w:val="none"/>
                <w:lang w:val="en-US" w:eastAsia="zh-CN"/>
              </w:rPr>
              <w:t>原燃料运输</w:t>
            </w: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385D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lang w:val="en-US"/>
              </w:rPr>
            </w:pPr>
            <w:r>
              <w:rPr>
                <w:rFonts w:hint="default" w:ascii="Times New Roman" w:hAnsi="Times New Roman" w:cs="Times New Roman"/>
                <w:i w:val="0"/>
                <w:iCs w:val="0"/>
                <w:color w:val="000000"/>
                <w:kern w:val="0"/>
                <w:sz w:val="21"/>
                <w:szCs w:val="21"/>
                <w:highlight w:val="none"/>
                <w:u w:val="none"/>
                <w:lang w:val="en-US" w:eastAsia="zh-CN" w:bidi="ar"/>
              </w:rPr>
              <w:t>产品制造</w:t>
            </w: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B726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lang w:val="en-US"/>
              </w:rPr>
            </w:pPr>
            <w:r>
              <w:rPr>
                <w:rFonts w:hint="default" w:ascii="Times New Roman" w:hAnsi="Times New Roman" w:cs="Times New Roman"/>
                <w:i w:val="0"/>
                <w:iCs w:val="0"/>
                <w:color w:val="000000"/>
                <w:kern w:val="0"/>
                <w:sz w:val="21"/>
                <w:szCs w:val="21"/>
                <w:highlight w:val="none"/>
                <w:u w:val="none"/>
                <w:lang w:val="en-US" w:eastAsia="zh-CN" w:bidi="ar"/>
              </w:rPr>
              <w:t>厂内运输</w:t>
            </w:r>
          </w:p>
        </w:tc>
      </w:tr>
    </w:tbl>
    <w:p w14:paraId="7F6F4BBC">
      <w:pPr>
        <w:pStyle w:val="8"/>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Times New Roman" w:hAnsi="Times New Roman" w:cs="Times New Roman"/>
          <w:highlight w:val="none"/>
        </w:rPr>
      </w:pPr>
      <w:r>
        <w:rPr>
          <w:rFonts w:hint="default" w:ascii="Times New Roman" w:hAnsi="Times New Roman" w:cs="Times New Roman"/>
          <w:highlight w:val="none"/>
        </w:rPr>
        <w:t xml:space="preserve">图 </w:t>
      </w:r>
      <w:r>
        <w:rPr>
          <w:rFonts w:hint="eastAsia" w:ascii="Times New Roman" w:hAnsi="Times New Roman" w:cs="Times New Roman"/>
          <w:highlight w:val="none"/>
          <w:lang w:val="en-US" w:eastAsia="zh-CN"/>
        </w:rPr>
        <w:t>5：</w:t>
      </w:r>
      <w:r>
        <w:rPr>
          <w:rFonts w:hint="eastAsia" w:ascii="Times New Roman" w:hAnsi="Times New Roman" w:cs="Times New Roman"/>
          <w:sz w:val="20"/>
          <w:szCs w:val="20"/>
          <w:highlight w:val="none"/>
          <w:lang w:eastAsia="zh-CN"/>
        </w:rPr>
        <w:t>阀门</w:t>
      </w:r>
      <w:r>
        <w:rPr>
          <w:rFonts w:hint="default" w:ascii="Times New Roman" w:hAnsi="Times New Roman" w:cs="Times New Roman"/>
          <w:sz w:val="20"/>
          <w:szCs w:val="20"/>
          <w:highlight w:val="none"/>
        </w:rPr>
        <w:t>碳足迹评价的系统边界图</w:t>
      </w:r>
    </w:p>
    <w:p w14:paraId="05C066BE">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3.2.3.3 取舍准则</w:t>
      </w:r>
    </w:p>
    <w:p w14:paraId="6855180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忽略的单项物质流或单元过程对环境影响的贡献均不得超过 1%</w:t>
      </w:r>
      <w:r>
        <w:rPr>
          <w:rFonts w:hint="eastAsia" w:ascii="Times New Roman" w:hAnsi="Times New Roman" w:eastAsia="宋体" w:cs="Times New Roman"/>
          <w:spacing w:val="1"/>
          <w:position w:val="17"/>
          <w:sz w:val="24"/>
          <w:szCs w:val="24"/>
          <w:lang w:val="en-US" w:eastAsia="zh-CN"/>
        </w:rPr>
        <w:t xml:space="preserve">，且对环境 影响贡献总和不超过 </w:t>
      </w:r>
      <w:r>
        <w:rPr>
          <w:rFonts w:hint="default" w:ascii="Times New Roman" w:hAnsi="Times New Roman" w:eastAsia="宋体" w:cs="Times New Roman"/>
          <w:spacing w:val="1"/>
          <w:position w:val="17"/>
          <w:sz w:val="24"/>
          <w:szCs w:val="24"/>
          <w:lang w:val="en-US" w:eastAsia="zh-CN"/>
        </w:rPr>
        <w:t>5%</w:t>
      </w:r>
      <w:r>
        <w:rPr>
          <w:rFonts w:hint="eastAsia" w:ascii="Times New Roman" w:hAnsi="Times New Roman" w:eastAsia="宋体" w:cs="Times New Roman"/>
          <w:spacing w:val="1"/>
          <w:position w:val="17"/>
          <w:sz w:val="24"/>
          <w:szCs w:val="24"/>
          <w:lang w:val="en-US" w:eastAsia="zh-CN"/>
        </w:rPr>
        <w:t>。</w:t>
      </w:r>
    </w:p>
    <w:p w14:paraId="6E4D0BA4">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3.2.3.4 时间范围</w:t>
      </w:r>
    </w:p>
    <w:p w14:paraId="0D93A23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统计周期为</w:t>
      </w:r>
      <w:r>
        <w:rPr>
          <w:rFonts w:hint="eastAsia" w:ascii="Times New Roman" w:hAnsi="Times New Roman" w:eastAsia="宋体" w:cs="Times New Roman"/>
          <w:spacing w:val="1"/>
          <w:position w:val="17"/>
          <w:sz w:val="24"/>
          <w:szCs w:val="24"/>
          <w:lang w:val="en-US" w:eastAsia="zh-CN"/>
        </w:rPr>
        <w:t>2023年7月至2024年6月</w:t>
      </w:r>
      <w:r>
        <w:rPr>
          <w:rFonts w:hint="default" w:ascii="Times New Roman" w:hAnsi="Times New Roman" w:eastAsia="宋体" w:cs="Times New Roman"/>
          <w:spacing w:val="1"/>
          <w:position w:val="17"/>
          <w:sz w:val="24"/>
          <w:szCs w:val="24"/>
          <w:lang w:val="en-US" w:eastAsia="zh-CN"/>
        </w:rPr>
        <w:t>，连续</w:t>
      </w:r>
      <w:r>
        <w:rPr>
          <w:rFonts w:hint="eastAsia" w:ascii="Times New Roman" w:hAnsi="Times New Roman" w:eastAsia="宋体" w:cs="Times New Roman"/>
          <w:spacing w:val="1"/>
          <w:position w:val="17"/>
          <w:sz w:val="24"/>
          <w:szCs w:val="24"/>
          <w:lang w:val="en-US" w:eastAsia="zh-CN"/>
        </w:rPr>
        <w:t>12</w:t>
      </w:r>
      <w:r>
        <w:rPr>
          <w:rFonts w:hint="default" w:ascii="Times New Roman" w:hAnsi="Times New Roman" w:eastAsia="宋体" w:cs="Times New Roman"/>
          <w:spacing w:val="1"/>
          <w:position w:val="17"/>
          <w:sz w:val="24"/>
          <w:szCs w:val="24"/>
          <w:lang w:val="en-US" w:eastAsia="zh-CN"/>
        </w:rPr>
        <w:t>个月。</w:t>
      </w:r>
    </w:p>
    <w:p w14:paraId="40BF78E6">
      <w:pPr>
        <w:keepNext w:val="0"/>
        <w:keepLines w:val="0"/>
        <w:pageBreakBefore w:val="0"/>
        <w:widowControl/>
        <w:kinsoku w:val="0"/>
        <w:wordWrap/>
        <w:overflowPunct/>
        <w:topLinePunct w:val="0"/>
        <w:autoSpaceDE w:val="0"/>
        <w:autoSpaceDN w:val="0"/>
        <w:bidi w:val="0"/>
        <w:adjustRightInd w:val="0"/>
        <w:snapToGrid w:val="0"/>
        <w:spacing w:before="6" w:after="0" w:afterLines="30" w:line="360" w:lineRule="auto"/>
        <w:ind w:left="0"/>
        <w:jc w:val="both"/>
        <w:textAlignment w:val="baseline"/>
        <w:outlineLvl w:val="2"/>
        <w:rPr>
          <w:rFonts w:hint="default" w:ascii="Times New Roman" w:hAnsi="Times New Roman" w:eastAsia="Times New Roman" w:cs="Times New Roman"/>
          <w:b w:val="0"/>
          <w:bCs w:val="0"/>
          <w:spacing w:val="-1"/>
          <w:sz w:val="24"/>
          <w:szCs w:val="24"/>
          <w:lang w:val="en-US" w:eastAsia="zh-CN"/>
        </w:rPr>
      </w:pPr>
      <w:r>
        <w:rPr>
          <w:rFonts w:hint="eastAsia" w:ascii="Times New Roman" w:hAnsi="Times New Roman" w:eastAsia="Times New Roman" w:cs="Times New Roman"/>
          <w:b w:val="0"/>
          <w:bCs w:val="0"/>
          <w:spacing w:val="-1"/>
          <w:sz w:val="24"/>
          <w:szCs w:val="24"/>
          <w:lang w:val="en-US" w:eastAsia="zh-CN"/>
        </w:rPr>
        <w:t xml:space="preserve">3.2.4 </w:t>
      </w:r>
      <w:r>
        <w:rPr>
          <w:rFonts w:hint="default" w:ascii="Times New Roman" w:hAnsi="Times New Roman" w:eastAsia="Times New Roman" w:cs="Times New Roman"/>
          <w:b w:val="0"/>
          <w:bCs w:val="0"/>
          <w:spacing w:val="-1"/>
          <w:sz w:val="24"/>
          <w:szCs w:val="24"/>
          <w:lang w:val="en-US" w:eastAsia="zh-CN"/>
        </w:rPr>
        <w:t>清单分析</w:t>
      </w:r>
    </w:p>
    <w:p w14:paraId="22BFDE0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lang w:val="en-US" w:eastAsia="zh-CN"/>
        </w:rPr>
      </w:pPr>
      <w:r>
        <w:rPr>
          <w:rFonts w:hint="default" w:ascii="Times New Roman" w:hAnsi="Times New Roman" w:eastAsia="宋体" w:cs="Times New Roman"/>
          <w:spacing w:val="1"/>
          <w:position w:val="17"/>
          <w:sz w:val="24"/>
          <w:szCs w:val="24"/>
          <w:lang w:val="en-US" w:eastAsia="zh-CN"/>
        </w:rPr>
        <w:t>企业现场数据包括</w:t>
      </w:r>
      <w:r>
        <w:rPr>
          <w:rFonts w:hint="eastAsia" w:ascii="Times New Roman" w:hAnsi="Times New Roman" w:eastAsia="宋体" w:cs="Times New Roman"/>
          <w:spacing w:val="1"/>
          <w:position w:val="17"/>
          <w:sz w:val="24"/>
          <w:szCs w:val="24"/>
          <w:lang w:val="en-US" w:eastAsia="zh-CN"/>
        </w:rPr>
        <w:t>阀门</w:t>
      </w:r>
      <w:r>
        <w:rPr>
          <w:rFonts w:hint="default" w:ascii="Times New Roman" w:hAnsi="Times New Roman" w:eastAsia="宋体" w:cs="Times New Roman"/>
          <w:spacing w:val="1"/>
          <w:position w:val="17"/>
          <w:sz w:val="24"/>
          <w:szCs w:val="24"/>
          <w:lang w:val="en-US" w:eastAsia="zh-CN"/>
        </w:rPr>
        <w:t>产品生产阶段的原材料消耗、能源消耗、直接温室气体排放以及运输数据（运输方式、距离、运输量）等，现场数据采集来源于生产相关数据，数据统计时间周期为202</w:t>
      </w:r>
      <w:r>
        <w:rPr>
          <w:rFonts w:hint="eastAsia" w:ascii="Times New Roman" w:hAnsi="Times New Roman" w:eastAsia="宋体" w:cs="Times New Roman"/>
          <w:spacing w:val="1"/>
          <w:position w:val="17"/>
          <w:sz w:val="24"/>
          <w:szCs w:val="24"/>
          <w:lang w:val="en-US" w:eastAsia="zh-CN"/>
        </w:rPr>
        <w:t>3</w:t>
      </w:r>
      <w:r>
        <w:rPr>
          <w:rFonts w:hint="default" w:ascii="Times New Roman" w:hAnsi="Times New Roman" w:eastAsia="宋体" w:cs="Times New Roman"/>
          <w:spacing w:val="1"/>
          <w:position w:val="17"/>
          <w:sz w:val="24"/>
          <w:szCs w:val="24"/>
          <w:lang w:val="en-US" w:eastAsia="zh-CN"/>
        </w:rPr>
        <w:t>年0</w:t>
      </w:r>
      <w:r>
        <w:rPr>
          <w:rFonts w:hint="eastAsia" w:ascii="Times New Roman" w:hAnsi="Times New Roman" w:eastAsia="宋体" w:cs="Times New Roman"/>
          <w:spacing w:val="1"/>
          <w:position w:val="17"/>
          <w:sz w:val="24"/>
          <w:szCs w:val="24"/>
          <w:lang w:val="en-US" w:eastAsia="zh-CN"/>
        </w:rPr>
        <w:t>7</w:t>
      </w:r>
      <w:r>
        <w:rPr>
          <w:rFonts w:hint="default" w:ascii="Times New Roman" w:hAnsi="Times New Roman" w:eastAsia="宋体" w:cs="Times New Roman"/>
          <w:spacing w:val="1"/>
          <w:position w:val="17"/>
          <w:sz w:val="24"/>
          <w:szCs w:val="24"/>
          <w:lang w:val="en-US" w:eastAsia="zh-CN"/>
        </w:rPr>
        <w:t>月至202</w:t>
      </w:r>
      <w:r>
        <w:rPr>
          <w:rFonts w:hint="eastAsia" w:ascii="Times New Roman" w:hAnsi="Times New Roman" w:eastAsia="宋体" w:cs="Times New Roman"/>
          <w:spacing w:val="1"/>
          <w:position w:val="17"/>
          <w:sz w:val="24"/>
          <w:szCs w:val="24"/>
          <w:lang w:val="en-US" w:eastAsia="zh-CN"/>
        </w:rPr>
        <w:t>4</w:t>
      </w:r>
      <w:r>
        <w:rPr>
          <w:rFonts w:hint="default" w:ascii="Times New Roman" w:hAnsi="Times New Roman" w:eastAsia="宋体" w:cs="Times New Roman"/>
          <w:spacing w:val="1"/>
          <w:position w:val="17"/>
          <w:sz w:val="24"/>
          <w:szCs w:val="24"/>
          <w:lang w:val="en-US" w:eastAsia="zh-CN"/>
        </w:rPr>
        <w:t>年</w:t>
      </w:r>
      <w:r>
        <w:rPr>
          <w:rFonts w:hint="eastAsia" w:ascii="Times New Roman" w:hAnsi="Times New Roman" w:eastAsia="宋体" w:cs="Times New Roman"/>
          <w:spacing w:val="1"/>
          <w:position w:val="17"/>
          <w:sz w:val="24"/>
          <w:szCs w:val="24"/>
          <w:lang w:val="en-US" w:eastAsia="zh-CN"/>
        </w:rPr>
        <w:t>6</w:t>
      </w:r>
      <w:r>
        <w:rPr>
          <w:rFonts w:hint="default" w:ascii="Times New Roman" w:hAnsi="Times New Roman" w:eastAsia="宋体" w:cs="Times New Roman"/>
          <w:spacing w:val="1"/>
          <w:position w:val="17"/>
          <w:sz w:val="24"/>
          <w:szCs w:val="24"/>
          <w:lang w:val="en-US" w:eastAsia="zh-CN"/>
        </w:rPr>
        <w:t>月（共1个自然年），数据真实有效。其中，产品产量、原材料消耗与能源消耗数据取自《原辅材料使用统计表》；原材料的运输距离根据产地估算得到（同种原料来自多个不同产地根据质量加权平均计算运输距离）；直接温室气体排放方面，根据企业生产用化石能源的消耗量、缺省热值（取自中国能源统计年鉴）与排放因子（取自IPCC）估算。采集到的数据以功能单位进行核算。</w:t>
      </w:r>
    </w:p>
    <w:p w14:paraId="3FBCF844">
      <w:pPr>
        <w:keepNext w:val="0"/>
        <w:keepLines w:val="0"/>
        <w:pageBreakBefore w:val="0"/>
        <w:widowControl/>
        <w:kinsoku w:val="0"/>
        <w:wordWrap/>
        <w:overflowPunct/>
        <w:topLinePunct w:val="0"/>
        <w:autoSpaceDE w:val="0"/>
        <w:autoSpaceDN w:val="0"/>
        <w:bidi w:val="0"/>
        <w:adjustRightInd w:val="0"/>
        <w:snapToGrid w:val="0"/>
        <w:spacing w:before="6" w:after="0" w:afterLines="30" w:line="360" w:lineRule="auto"/>
        <w:ind w:left="0"/>
        <w:jc w:val="both"/>
        <w:textAlignment w:val="baseline"/>
        <w:outlineLvl w:val="2"/>
        <w:rPr>
          <w:rFonts w:hint="default" w:ascii="Times New Roman" w:hAnsi="Times New Roman" w:eastAsia="Times New Roman" w:cs="Times New Roman"/>
          <w:b w:val="0"/>
          <w:bCs w:val="0"/>
          <w:spacing w:val="-1"/>
          <w:sz w:val="24"/>
          <w:szCs w:val="24"/>
          <w:lang w:val="en-US" w:eastAsia="zh-CN"/>
        </w:rPr>
      </w:pPr>
      <w:r>
        <w:rPr>
          <w:rFonts w:hint="eastAsia" w:ascii="Times New Roman" w:hAnsi="Times New Roman" w:eastAsia="Times New Roman" w:cs="Times New Roman"/>
          <w:b w:val="0"/>
          <w:bCs w:val="0"/>
          <w:spacing w:val="-1"/>
          <w:sz w:val="24"/>
          <w:szCs w:val="24"/>
          <w:lang w:val="en-US" w:eastAsia="zh-CN"/>
        </w:rPr>
        <w:t>3.2.4.1 数据来源说明</w:t>
      </w:r>
    </w:p>
    <w:p w14:paraId="2C71AF1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1）初级数据的收集和确认</w:t>
      </w:r>
    </w:p>
    <w:p w14:paraId="7872818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企业现场数据包括生产阶段的原材料消耗、能源消耗、污染物排放以及运输数据（运输方式、距离、运输量）等，统计周期为连续</w:t>
      </w:r>
      <w:r>
        <w:rPr>
          <w:rFonts w:hint="eastAsia" w:ascii="Times New Roman" w:hAnsi="Times New Roman" w:eastAsia="宋体" w:cs="Times New Roman"/>
          <w:spacing w:val="1"/>
          <w:position w:val="17"/>
          <w:sz w:val="24"/>
          <w:szCs w:val="24"/>
          <w:lang w:val="en-US" w:eastAsia="zh-CN"/>
        </w:rPr>
        <w:t>12</w:t>
      </w:r>
      <w:r>
        <w:rPr>
          <w:rFonts w:hint="default" w:ascii="Times New Roman" w:hAnsi="Times New Roman" w:eastAsia="宋体" w:cs="Times New Roman"/>
          <w:spacing w:val="1"/>
          <w:position w:val="17"/>
          <w:sz w:val="24"/>
          <w:szCs w:val="24"/>
          <w:lang w:val="en-US" w:eastAsia="zh-CN"/>
        </w:rPr>
        <w:t>个月。现场数据通过对</w:t>
      </w:r>
      <w:r>
        <w:rPr>
          <w:rFonts w:hint="eastAsia" w:ascii="Times New Roman" w:hAnsi="Times New Roman" w:eastAsia="宋体" w:cs="Times New Roman"/>
          <w:spacing w:val="1"/>
          <w:position w:val="17"/>
          <w:sz w:val="24"/>
          <w:szCs w:val="24"/>
          <w:lang w:val="en-US" w:eastAsia="zh-CN"/>
        </w:rPr>
        <w:t>远大阀门集团有限公司</w:t>
      </w:r>
      <w:r>
        <w:rPr>
          <w:rFonts w:hint="default" w:ascii="Times New Roman" w:hAnsi="Times New Roman" w:eastAsia="宋体" w:cs="Times New Roman"/>
          <w:spacing w:val="1"/>
          <w:position w:val="17"/>
          <w:sz w:val="24"/>
          <w:szCs w:val="24"/>
          <w:lang w:val="en-US" w:eastAsia="zh-CN"/>
        </w:rPr>
        <w:t>生产现场调研方式获取</w:t>
      </w:r>
      <w:r>
        <w:rPr>
          <w:rFonts w:hint="eastAsia" w:ascii="Times New Roman" w:hAnsi="Times New Roman" w:eastAsia="宋体" w:cs="Times New Roman"/>
          <w:spacing w:val="1"/>
          <w:position w:val="17"/>
          <w:sz w:val="24"/>
          <w:szCs w:val="24"/>
          <w:lang w:val="en-US" w:eastAsia="zh-CN"/>
        </w:rPr>
        <w:t>，</w:t>
      </w:r>
      <w:r>
        <w:rPr>
          <w:rFonts w:hint="default" w:ascii="Times New Roman" w:hAnsi="Times New Roman" w:eastAsia="宋体" w:cs="Times New Roman"/>
          <w:spacing w:val="1"/>
          <w:position w:val="17"/>
          <w:sz w:val="24"/>
          <w:szCs w:val="24"/>
          <w:lang w:val="en-US" w:eastAsia="zh-CN"/>
        </w:rPr>
        <w:t>现场数据来源见表</w:t>
      </w:r>
      <w:r>
        <w:rPr>
          <w:rFonts w:hint="eastAsia" w:ascii="Times New Roman" w:hAnsi="Times New Roman" w:eastAsia="宋体" w:cs="Times New Roman"/>
          <w:spacing w:val="1"/>
          <w:position w:val="17"/>
          <w:sz w:val="24"/>
          <w:szCs w:val="24"/>
          <w:lang w:val="en-US" w:eastAsia="zh-CN"/>
        </w:rPr>
        <w:t>5</w:t>
      </w:r>
      <w:r>
        <w:rPr>
          <w:rFonts w:hint="default" w:ascii="Times New Roman" w:hAnsi="Times New Roman" w:eastAsia="宋体" w:cs="Times New Roman"/>
          <w:spacing w:val="1"/>
          <w:position w:val="17"/>
          <w:sz w:val="24"/>
          <w:szCs w:val="24"/>
          <w:lang w:val="en-US" w:eastAsia="zh-CN"/>
        </w:rPr>
        <w:t>。</w:t>
      </w:r>
    </w:p>
    <w:p w14:paraId="2D6C1E8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default"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表</w:t>
      </w:r>
      <w:r>
        <w:rPr>
          <w:rFonts w:hint="eastAsia" w:ascii="Times New Roman" w:hAnsi="Times New Roman" w:eastAsia="宋体" w:cs="Times New Roman"/>
          <w:spacing w:val="1"/>
          <w:position w:val="17"/>
          <w:sz w:val="24"/>
          <w:szCs w:val="24"/>
          <w:lang w:val="en-US" w:eastAsia="zh-CN"/>
        </w:rPr>
        <w:t>5：</w:t>
      </w:r>
      <w:r>
        <w:rPr>
          <w:rFonts w:hint="default" w:ascii="Times New Roman" w:hAnsi="Times New Roman" w:eastAsia="宋体" w:cs="Times New Roman"/>
          <w:spacing w:val="1"/>
          <w:position w:val="17"/>
          <w:sz w:val="24"/>
          <w:szCs w:val="24"/>
          <w:lang w:val="en-US" w:eastAsia="zh-CN"/>
        </w:rPr>
        <w:t>现场数据来源</w:t>
      </w:r>
    </w:p>
    <w:tbl>
      <w:tblPr>
        <w:tblStyle w:val="1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01"/>
        <w:gridCol w:w="5437"/>
      </w:tblGrid>
      <w:tr w14:paraId="5437A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gridSpan w:val="2"/>
          </w:tcPr>
          <w:p w14:paraId="7A44246B">
            <w:pPr>
              <w:widowControl w:val="0"/>
              <w:spacing w:line="240" w:lineRule="auto"/>
              <w:ind w:firstLine="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项目</w:t>
            </w:r>
          </w:p>
        </w:tc>
        <w:tc>
          <w:tcPr>
            <w:tcW w:w="5437" w:type="dxa"/>
          </w:tcPr>
          <w:p w14:paraId="36CEC8C9">
            <w:pPr>
              <w:widowControl w:val="0"/>
              <w:spacing w:line="240" w:lineRule="auto"/>
              <w:ind w:firstLine="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来源</w:t>
            </w:r>
          </w:p>
        </w:tc>
      </w:tr>
      <w:tr w14:paraId="18A6D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gridSpan w:val="2"/>
          </w:tcPr>
          <w:p w14:paraId="5341070F">
            <w:pPr>
              <w:widowControl w:val="0"/>
              <w:spacing w:line="240" w:lineRule="auto"/>
              <w:ind w:firstLine="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产品产量</w:t>
            </w:r>
          </w:p>
        </w:tc>
        <w:tc>
          <w:tcPr>
            <w:tcW w:w="5437" w:type="dxa"/>
          </w:tcPr>
          <w:p w14:paraId="771C41B1">
            <w:pPr>
              <w:widowControl w:val="0"/>
              <w:spacing w:line="240" w:lineRule="auto"/>
              <w:ind w:firstLine="0"/>
              <w:rPr>
                <w:rFonts w:hint="eastAsia" w:ascii="宋体" w:hAnsi="宋体" w:eastAsia="宋体" w:cs="宋体"/>
                <w:sz w:val="24"/>
                <w:szCs w:val="24"/>
                <w:highlight w:val="none"/>
              </w:rPr>
            </w:pPr>
            <w:r>
              <w:rPr>
                <w:rFonts w:hint="eastAsia" w:ascii="宋体" w:hAnsi="宋体" w:eastAsia="宋体" w:cs="宋体"/>
                <w:sz w:val="24"/>
                <w:szCs w:val="24"/>
                <w:highlight w:val="none"/>
              </w:rPr>
              <w:t>企业生产报表</w:t>
            </w:r>
          </w:p>
        </w:tc>
      </w:tr>
      <w:tr w14:paraId="6D71B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gridSpan w:val="2"/>
          </w:tcPr>
          <w:p w14:paraId="6482EE5E">
            <w:pPr>
              <w:widowControl w:val="0"/>
              <w:spacing w:line="240" w:lineRule="auto"/>
              <w:ind w:firstLine="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原材料消耗</w:t>
            </w:r>
          </w:p>
        </w:tc>
        <w:tc>
          <w:tcPr>
            <w:tcW w:w="5437" w:type="dxa"/>
          </w:tcPr>
          <w:p w14:paraId="7D9AE0CE">
            <w:pPr>
              <w:widowControl w:val="0"/>
              <w:spacing w:line="240" w:lineRule="auto"/>
              <w:ind w:firstLine="0"/>
              <w:rPr>
                <w:rFonts w:hint="eastAsia" w:ascii="宋体" w:hAnsi="宋体" w:eastAsia="宋体" w:cs="宋体"/>
                <w:sz w:val="24"/>
                <w:szCs w:val="24"/>
                <w:highlight w:val="none"/>
              </w:rPr>
            </w:pPr>
            <w:r>
              <w:rPr>
                <w:rFonts w:hint="eastAsia" w:ascii="宋体" w:hAnsi="宋体" w:eastAsia="宋体" w:cs="宋体"/>
                <w:sz w:val="24"/>
                <w:szCs w:val="24"/>
                <w:highlight w:val="none"/>
              </w:rPr>
              <w:t>企业生产报表</w:t>
            </w:r>
          </w:p>
        </w:tc>
      </w:tr>
      <w:tr w14:paraId="61D2E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gridSpan w:val="2"/>
          </w:tcPr>
          <w:p w14:paraId="6806EEF7">
            <w:pPr>
              <w:widowControl w:val="0"/>
              <w:spacing w:line="240" w:lineRule="auto"/>
              <w:ind w:firstLine="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能源消耗</w:t>
            </w:r>
          </w:p>
        </w:tc>
        <w:tc>
          <w:tcPr>
            <w:tcW w:w="5437" w:type="dxa"/>
          </w:tcPr>
          <w:p w14:paraId="389855E9">
            <w:pPr>
              <w:widowControl w:val="0"/>
              <w:spacing w:line="240" w:lineRule="auto"/>
              <w:ind w:firstLine="0"/>
              <w:rPr>
                <w:rFonts w:hint="eastAsia" w:ascii="宋体" w:hAnsi="宋体" w:eastAsia="宋体" w:cs="宋体"/>
                <w:sz w:val="24"/>
                <w:szCs w:val="24"/>
                <w:highlight w:val="none"/>
              </w:rPr>
            </w:pPr>
            <w:r>
              <w:rPr>
                <w:rFonts w:hint="eastAsia" w:ascii="宋体" w:hAnsi="宋体" w:eastAsia="宋体" w:cs="宋体"/>
                <w:sz w:val="24"/>
                <w:szCs w:val="24"/>
                <w:highlight w:val="none"/>
              </w:rPr>
              <w:t>企业生产报表</w:t>
            </w:r>
          </w:p>
        </w:tc>
      </w:tr>
      <w:tr w14:paraId="35397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gridSpan w:val="2"/>
          </w:tcPr>
          <w:p w14:paraId="4B04D12B">
            <w:pPr>
              <w:widowControl w:val="0"/>
              <w:spacing w:line="240" w:lineRule="auto"/>
              <w:ind w:firstLine="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原材料、能源运输距离</w:t>
            </w:r>
          </w:p>
        </w:tc>
        <w:tc>
          <w:tcPr>
            <w:tcW w:w="5437" w:type="dxa"/>
          </w:tcPr>
          <w:p w14:paraId="18165742">
            <w:pPr>
              <w:widowControl w:val="0"/>
              <w:spacing w:line="240" w:lineRule="auto"/>
              <w:ind w:firstLine="0"/>
              <w:rPr>
                <w:rFonts w:hint="eastAsia" w:ascii="宋体" w:hAnsi="宋体" w:eastAsia="宋体" w:cs="宋体"/>
                <w:sz w:val="24"/>
                <w:szCs w:val="24"/>
                <w:highlight w:val="none"/>
              </w:rPr>
            </w:pPr>
            <w:r>
              <w:rPr>
                <w:rFonts w:hint="eastAsia" w:ascii="宋体" w:hAnsi="宋体" w:eastAsia="宋体" w:cs="宋体"/>
                <w:sz w:val="24"/>
                <w:szCs w:val="24"/>
                <w:highlight w:val="none"/>
              </w:rPr>
              <w:t>根据其产地估算</w:t>
            </w:r>
          </w:p>
        </w:tc>
      </w:tr>
      <w:tr w14:paraId="12679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Merge w:val="restart"/>
            <w:vAlign w:val="center"/>
          </w:tcPr>
          <w:p w14:paraId="2DDD02A5">
            <w:pPr>
              <w:widowControl w:val="0"/>
              <w:spacing w:line="240" w:lineRule="auto"/>
              <w:ind w:firstLine="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温室气体</w:t>
            </w:r>
          </w:p>
        </w:tc>
        <w:tc>
          <w:tcPr>
            <w:tcW w:w="1701" w:type="dxa"/>
          </w:tcPr>
          <w:p w14:paraId="7C5F5406">
            <w:pPr>
              <w:widowControl w:val="0"/>
              <w:spacing w:line="240" w:lineRule="auto"/>
              <w:ind w:firstLine="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二氧化碳</w:t>
            </w:r>
          </w:p>
        </w:tc>
        <w:tc>
          <w:tcPr>
            <w:tcW w:w="5437" w:type="dxa"/>
            <w:vMerge w:val="restart"/>
          </w:tcPr>
          <w:p w14:paraId="06B61208">
            <w:pPr>
              <w:widowControl w:val="0"/>
              <w:spacing w:line="240" w:lineRule="auto"/>
              <w:ind w:firstLine="0"/>
              <w:rPr>
                <w:rFonts w:hint="eastAsia" w:ascii="宋体" w:hAnsi="宋体" w:eastAsia="宋体" w:cs="宋体"/>
                <w:sz w:val="24"/>
                <w:szCs w:val="24"/>
                <w:highlight w:val="none"/>
              </w:rPr>
            </w:pPr>
            <w:r>
              <w:rPr>
                <w:rFonts w:hint="eastAsia" w:ascii="宋体" w:hAnsi="宋体" w:eastAsia="宋体" w:cs="宋体"/>
                <w:sz w:val="24"/>
                <w:szCs w:val="24"/>
                <w:highlight w:val="none"/>
              </w:rPr>
              <w:t>根据生产用化石能源的消耗量、缺省热值（取自中国能源统计年鉴）与排放因子（取自IPCC报告）估算</w:t>
            </w:r>
          </w:p>
        </w:tc>
      </w:tr>
      <w:tr w14:paraId="28D26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Merge w:val="continue"/>
          </w:tcPr>
          <w:p w14:paraId="71F095A7">
            <w:pPr>
              <w:widowControl w:val="0"/>
              <w:spacing w:line="240" w:lineRule="auto"/>
              <w:ind w:firstLine="0"/>
              <w:jc w:val="center"/>
              <w:rPr>
                <w:rFonts w:hint="eastAsia" w:ascii="宋体" w:hAnsi="宋体" w:eastAsia="宋体" w:cs="宋体"/>
                <w:sz w:val="24"/>
                <w:szCs w:val="24"/>
              </w:rPr>
            </w:pPr>
          </w:p>
        </w:tc>
        <w:tc>
          <w:tcPr>
            <w:tcW w:w="1701" w:type="dxa"/>
            <w:vAlign w:val="center"/>
          </w:tcPr>
          <w:p w14:paraId="0EA592DA">
            <w:pPr>
              <w:widowControl w:val="0"/>
              <w:spacing w:line="240" w:lineRule="auto"/>
              <w:ind w:firstLine="0"/>
              <w:jc w:val="center"/>
              <w:rPr>
                <w:rFonts w:hint="eastAsia" w:ascii="宋体" w:hAnsi="宋体" w:eastAsia="宋体" w:cs="宋体"/>
                <w:sz w:val="24"/>
                <w:szCs w:val="24"/>
              </w:rPr>
            </w:pPr>
            <w:r>
              <w:rPr>
                <w:rFonts w:hint="eastAsia" w:ascii="宋体" w:hAnsi="宋体" w:eastAsia="宋体" w:cs="宋体"/>
                <w:sz w:val="24"/>
                <w:szCs w:val="24"/>
              </w:rPr>
              <w:t>其他温室气体</w:t>
            </w:r>
          </w:p>
        </w:tc>
        <w:tc>
          <w:tcPr>
            <w:tcW w:w="5437" w:type="dxa"/>
            <w:vMerge w:val="continue"/>
          </w:tcPr>
          <w:p w14:paraId="171B58BE">
            <w:pPr>
              <w:widowControl w:val="0"/>
              <w:spacing w:line="240" w:lineRule="auto"/>
              <w:ind w:firstLine="0"/>
              <w:rPr>
                <w:rFonts w:hint="eastAsia" w:ascii="宋体" w:hAnsi="宋体" w:eastAsia="宋体" w:cs="宋体"/>
                <w:sz w:val="24"/>
                <w:szCs w:val="24"/>
              </w:rPr>
            </w:pPr>
          </w:p>
        </w:tc>
      </w:tr>
    </w:tbl>
    <w:p w14:paraId="1499B02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2）次级</w:t>
      </w:r>
      <w:r>
        <w:rPr>
          <w:rFonts w:hint="default" w:ascii="Times New Roman" w:hAnsi="Times New Roman" w:eastAsia="宋体" w:cs="Times New Roman"/>
          <w:spacing w:val="1"/>
          <w:position w:val="17"/>
          <w:sz w:val="24"/>
          <w:szCs w:val="24"/>
          <w:lang w:val="en-US" w:eastAsia="zh-CN"/>
        </w:rPr>
        <w:t>数据</w:t>
      </w:r>
      <w:r>
        <w:rPr>
          <w:rFonts w:hint="eastAsia" w:ascii="Times New Roman" w:hAnsi="Times New Roman" w:eastAsia="宋体" w:cs="Times New Roman"/>
          <w:spacing w:val="1"/>
          <w:position w:val="17"/>
          <w:sz w:val="24"/>
          <w:szCs w:val="24"/>
          <w:lang w:val="en-US" w:eastAsia="zh-CN"/>
        </w:rPr>
        <w:t>的收集</w:t>
      </w:r>
    </w:p>
    <w:p w14:paraId="543C805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lang w:val="en-US" w:eastAsia="zh-CN"/>
        </w:rPr>
      </w:pPr>
      <w:r>
        <w:rPr>
          <w:rFonts w:hint="eastAsia" w:ascii="Times New Roman" w:hAnsi="Times New Roman" w:eastAsia="宋体" w:cs="Times New Roman"/>
          <w:spacing w:val="1"/>
          <w:position w:val="17"/>
          <w:sz w:val="24"/>
          <w:szCs w:val="24"/>
          <w:lang w:val="en-US" w:eastAsia="zh-CN"/>
        </w:rPr>
        <w:t>次级</w:t>
      </w:r>
      <w:r>
        <w:rPr>
          <w:rFonts w:hint="default" w:ascii="Times New Roman" w:hAnsi="Times New Roman" w:eastAsia="宋体" w:cs="Times New Roman"/>
          <w:spacing w:val="1"/>
          <w:position w:val="17"/>
          <w:sz w:val="24"/>
          <w:szCs w:val="24"/>
          <w:lang w:val="en-US" w:eastAsia="zh-CN"/>
        </w:rPr>
        <w:t>数据指企业运营边界外与产品生产相关的原材料获取、运输、能源生产等过程的资源、能源消耗与污染物排放数据。数据主要来源于欧洲Ecoinvent数据库。</w:t>
      </w:r>
    </w:p>
    <w:p w14:paraId="7C274A92">
      <w:pPr>
        <w:keepNext w:val="0"/>
        <w:keepLines w:val="0"/>
        <w:pageBreakBefore w:val="0"/>
        <w:widowControl/>
        <w:kinsoku w:val="0"/>
        <w:wordWrap/>
        <w:overflowPunct/>
        <w:topLinePunct w:val="0"/>
        <w:autoSpaceDE w:val="0"/>
        <w:autoSpaceDN w:val="0"/>
        <w:bidi w:val="0"/>
        <w:adjustRightInd w:val="0"/>
        <w:snapToGrid w:val="0"/>
        <w:spacing w:before="6" w:after="0" w:afterLines="30" w:line="360" w:lineRule="auto"/>
        <w:ind w:left="0"/>
        <w:jc w:val="both"/>
        <w:textAlignment w:val="baseline"/>
        <w:outlineLvl w:val="2"/>
        <w:rPr>
          <w:rFonts w:hint="eastAsia" w:ascii="Times New Roman" w:hAnsi="Times New Roman" w:eastAsia="Times New Roman" w:cs="Times New Roman"/>
          <w:b w:val="0"/>
          <w:bCs w:val="0"/>
          <w:spacing w:val="-1"/>
          <w:sz w:val="24"/>
          <w:szCs w:val="24"/>
          <w:lang w:val="en-US" w:eastAsia="zh-CN"/>
        </w:rPr>
      </w:pPr>
      <w:r>
        <w:rPr>
          <w:rFonts w:hint="eastAsia" w:ascii="Times New Roman" w:hAnsi="Times New Roman" w:eastAsia="Times New Roman" w:cs="Times New Roman"/>
          <w:b w:val="0"/>
          <w:bCs w:val="0"/>
          <w:spacing w:val="-1"/>
          <w:sz w:val="24"/>
          <w:szCs w:val="24"/>
          <w:lang w:val="en-US" w:eastAsia="zh-CN"/>
        </w:rPr>
        <w:t>3.2.4.2 清单结果及计算</w:t>
      </w:r>
    </w:p>
    <w:p w14:paraId="29FEAEC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生命周期各个阶段碳排放计算说明见表6。</w:t>
      </w:r>
    </w:p>
    <w:p w14:paraId="5D5D5EF1">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Arial" w:hAnsi="Arial" w:eastAsia="Arial" w:cs="Arial"/>
          <w:snapToGrid w:val="0"/>
          <w:color w:val="000000"/>
          <w:kern w:val="0"/>
          <w:sz w:val="21"/>
          <w:szCs w:val="21"/>
          <w:lang w:val="en-US" w:eastAsia="zh-CN"/>
        </w:rPr>
      </w:pPr>
      <w:r>
        <w:rPr>
          <w:rFonts w:hint="eastAsia" w:ascii="Times New Roman" w:hAnsi="Times New Roman" w:eastAsia="宋体" w:cs="Times New Roman"/>
          <w:spacing w:val="1"/>
          <w:position w:val="17"/>
          <w:sz w:val="24"/>
          <w:szCs w:val="24"/>
          <w:lang w:val="en-US" w:eastAsia="zh-CN"/>
        </w:rPr>
        <w:t>表6：球阀产品生命周期碳排放清单说明</w:t>
      </w:r>
    </w:p>
    <w:p w14:paraId="2E9354BF">
      <w:pPr>
        <w:keepNext w:val="0"/>
        <w:keepLines w:val="0"/>
        <w:pageBreakBefore w:val="0"/>
        <w:widowControl/>
        <w:kinsoku w:val="0"/>
        <w:wordWrap/>
        <w:overflowPunct/>
        <w:topLinePunct w:val="0"/>
        <w:autoSpaceDE w:val="0"/>
        <w:autoSpaceDN w:val="0"/>
        <w:bidi w:val="0"/>
        <w:adjustRightInd w:val="0"/>
        <w:snapToGrid w:val="0"/>
        <w:spacing w:before="6" w:after="0" w:afterLines="30" w:line="360" w:lineRule="auto"/>
        <w:ind w:left="0"/>
        <w:jc w:val="center"/>
        <w:textAlignment w:val="baseline"/>
        <w:outlineLvl w:val="2"/>
        <w:rPr>
          <w:rFonts w:hint="eastAsia" w:eastAsia="宋体"/>
          <w:lang w:eastAsia="zh-CN"/>
        </w:rPr>
      </w:pPr>
      <w:r>
        <w:rPr>
          <w:rFonts w:hint="eastAsia" w:eastAsia="宋体"/>
          <w:lang w:eastAsia="zh-CN"/>
        </w:rPr>
        <w:drawing>
          <wp:inline distT="0" distB="0" distL="114300" distR="114300">
            <wp:extent cx="3916680" cy="4046220"/>
            <wp:effectExtent l="0" t="0" r="0" b="7620"/>
            <wp:docPr id="9" name="图片 9" descr="17688443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768844352(1)"/>
                    <pic:cNvPicPr>
                      <a:picLocks noChangeAspect="1"/>
                    </pic:cNvPicPr>
                  </pic:nvPicPr>
                  <pic:blipFill>
                    <a:blip r:embed="rId11"/>
                    <a:stretch>
                      <a:fillRect/>
                    </a:stretch>
                  </pic:blipFill>
                  <pic:spPr>
                    <a:xfrm>
                      <a:off x="0" y="0"/>
                      <a:ext cx="3916680" cy="4046220"/>
                    </a:xfrm>
                    <a:prstGeom prst="rect">
                      <a:avLst/>
                    </a:prstGeom>
                  </pic:spPr>
                </pic:pic>
              </a:graphicData>
            </a:graphic>
          </wp:inline>
        </w:drawing>
      </w:r>
    </w:p>
    <w:p w14:paraId="13D8164A">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default" w:ascii="Times New Roman" w:hAnsi="Times New Roman" w:eastAsia="宋体" w:cs="Times New Roman"/>
          <w:spacing w:val="1"/>
          <w:position w:val="17"/>
          <w:sz w:val="24"/>
          <w:szCs w:val="24"/>
          <w:lang w:val="en-US" w:eastAsia="zh-CN"/>
        </w:rPr>
      </w:pPr>
      <w:r>
        <w:drawing>
          <wp:inline distT="0" distB="0" distL="114300" distR="114300">
            <wp:extent cx="5288280" cy="2532380"/>
            <wp:effectExtent l="0" t="0" r="0" b="1270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2"/>
                    <a:stretch>
                      <a:fillRect/>
                    </a:stretch>
                  </pic:blipFill>
                  <pic:spPr>
                    <a:xfrm>
                      <a:off x="0" y="0"/>
                      <a:ext cx="5288280" cy="2532380"/>
                    </a:xfrm>
                    <a:prstGeom prst="rect">
                      <a:avLst/>
                    </a:prstGeom>
                    <a:noFill/>
                    <a:ln>
                      <a:noFill/>
                    </a:ln>
                  </pic:spPr>
                </pic:pic>
              </a:graphicData>
            </a:graphic>
          </wp:inline>
        </w:drawing>
      </w:r>
    </w:p>
    <w:p w14:paraId="3FA31A32">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图</w:t>
      </w:r>
      <w:r>
        <w:rPr>
          <w:rFonts w:hint="eastAsia" w:ascii="Times New Roman" w:hAnsi="Times New Roman" w:eastAsia="宋体" w:cs="Times New Roman"/>
          <w:spacing w:val="1"/>
          <w:position w:val="17"/>
          <w:sz w:val="24"/>
          <w:szCs w:val="24"/>
          <w:lang w:val="en-US" w:eastAsia="zh-CN"/>
        </w:rPr>
        <w:t>6：</w:t>
      </w:r>
      <w:r>
        <w:rPr>
          <w:rFonts w:hint="default" w:ascii="Times New Roman" w:hAnsi="Times New Roman" w:eastAsia="宋体" w:cs="Times New Roman"/>
          <w:spacing w:val="1"/>
          <w:position w:val="17"/>
          <w:sz w:val="24"/>
          <w:szCs w:val="24"/>
          <w:lang w:val="en-US" w:eastAsia="zh-CN"/>
        </w:rPr>
        <w:t>产品各阶段碳足迹（单位：kg CO</w:t>
      </w:r>
      <w:r>
        <w:rPr>
          <w:rFonts w:hint="default" w:ascii="Times New Roman" w:hAnsi="Times New Roman" w:eastAsia="宋体" w:cs="Times New Roman"/>
          <w:spacing w:val="1"/>
          <w:position w:val="17"/>
          <w:sz w:val="24"/>
          <w:szCs w:val="24"/>
          <w:vertAlign w:val="subscript"/>
          <w:lang w:val="en-US" w:eastAsia="zh-CN"/>
        </w:rPr>
        <w:t>2</w:t>
      </w:r>
      <w:r>
        <w:rPr>
          <w:rFonts w:hint="default" w:ascii="Times New Roman" w:hAnsi="Times New Roman" w:eastAsia="宋体" w:cs="Times New Roman"/>
          <w:spacing w:val="1"/>
          <w:position w:val="17"/>
          <w:sz w:val="24"/>
          <w:szCs w:val="24"/>
          <w:lang w:val="en-US" w:eastAsia="zh-CN"/>
        </w:rPr>
        <w:t xml:space="preserve"> eq.）</w:t>
      </w:r>
    </w:p>
    <w:p w14:paraId="29FC883E">
      <w:pPr>
        <w:keepNext w:val="0"/>
        <w:keepLines w:val="0"/>
        <w:pageBreakBefore w:val="0"/>
        <w:widowControl/>
        <w:kinsoku w:val="0"/>
        <w:wordWrap/>
        <w:overflowPunct/>
        <w:topLinePunct w:val="0"/>
        <w:autoSpaceDE w:val="0"/>
        <w:autoSpaceDN w:val="0"/>
        <w:bidi w:val="0"/>
        <w:adjustRightInd w:val="0"/>
        <w:snapToGrid w:val="0"/>
        <w:spacing w:before="6" w:after="0" w:afterLines="30" w:line="360" w:lineRule="auto"/>
        <w:ind w:left="0"/>
        <w:jc w:val="both"/>
        <w:textAlignment w:val="baseline"/>
        <w:outlineLvl w:val="2"/>
        <w:rPr>
          <w:rFonts w:hint="eastAsia" w:ascii="Times New Roman" w:hAnsi="Times New Roman" w:eastAsia="Times New Roman" w:cs="Times New Roman"/>
          <w:b w:val="0"/>
          <w:bCs w:val="0"/>
          <w:spacing w:val="-1"/>
          <w:sz w:val="24"/>
          <w:szCs w:val="24"/>
          <w:lang w:val="en-US" w:eastAsia="zh-CN"/>
        </w:rPr>
      </w:pPr>
      <w:r>
        <w:rPr>
          <w:rFonts w:hint="eastAsia" w:ascii="Times New Roman" w:hAnsi="Times New Roman" w:eastAsia="Times New Roman" w:cs="Times New Roman"/>
          <w:b w:val="0"/>
          <w:bCs w:val="0"/>
          <w:spacing w:val="-1"/>
          <w:sz w:val="24"/>
          <w:szCs w:val="24"/>
          <w:lang w:val="en-US" w:eastAsia="zh-CN"/>
        </w:rPr>
        <w:t>3.2.4.3 数据质量评价（可选项）</w:t>
      </w:r>
    </w:p>
    <w:p w14:paraId="691E805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1)现场数据</w:t>
      </w:r>
    </w:p>
    <w:p w14:paraId="21617B2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a</w:t>
      </w:r>
      <w:r>
        <w:rPr>
          <w:rFonts w:hint="eastAsia" w:ascii="Times New Roman" w:hAnsi="Times New Roman" w:eastAsia="宋体" w:cs="Times New Roman"/>
          <w:spacing w:val="1"/>
          <w:position w:val="17"/>
          <w:sz w:val="24"/>
          <w:szCs w:val="24"/>
          <w:lang w:val="en-US" w:eastAsia="zh-CN"/>
        </w:rPr>
        <w:t xml:space="preserve">）完整性：现场数据收集了企业统计周期内的生产统计数据。 </w:t>
      </w:r>
    </w:p>
    <w:p w14:paraId="6FECCF9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b</w:t>
      </w:r>
      <w:r>
        <w:rPr>
          <w:rFonts w:hint="eastAsia" w:ascii="Times New Roman" w:hAnsi="Times New Roman" w:eastAsia="宋体" w:cs="Times New Roman"/>
          <w:spacing w:val="1"/>
          <w:position w:val="17"/>
          <w:sz w:val="24"/>
          <w:szCs w:val="24"/>
          <w:lang w:val="en-US" w:eastAsia="zh-CN"/>
        </w:rPr>
        <w:t xml:space="preserve">）准确性：现场数据中的产品产量、能源消耗、原材料消耗数据来自企业的实际生产统计记录；环境排放数据中，二氧化碳等温室气体及其他无法直接获 得的污染气体根据生产用化石能源的消耗量、缺省热值（取自中国能源统计年鉴） 与排放因子（取自 </w:t>
      </w:r>
      <w:r>
        <w:rPr>
          <w:rFonts w:hint="default" w:ascii="Times New Roman" w:hAnsi="Times New Roman" w:eastAsia="宋体" w:cs="Times New Roman"/>
          <w:spacing w:val="1"/>
          <w:position w:val="17"/>
          <w:sz w:val="24"/>
          <w:szCs w:val="24"/>
          <w:lang w:val="en-US" w:eastAsia="zh-CN"/>
        </w:rPr>
        <w:t xml:space="preserve">IPCC </w:t>
      </w:r>
      <w:r>
        <w:rPr>
          <w:rFonts w:hint="eastAsia" w:ascii="Times New Roman" w:hAnsi="Times New Roman" w:eastAsia="宋体" w:cs="Times New Roman"/>
          <w:spacing w:val="1"/>
          <w:position w:val="17"/>
          <w:sz w:val="24"/>
          <w:szCs w:val="24"/>
          <w:lang w:val="en-US" w:eastAsia="zh-CN"/>
        </w:rPr>
        <w:t xml:space="preserve">报告与 </w:t>
      </w:r>
      <w:r>
        <w:rPr>
          <w:rFonts w:hint="default" w:ascii="Times New Roman" w:hAnsi="Times New Roman" w:eastAsia="宋体" w:cs="Times New Roman"/>
          <w:spacing w:val="1"/>
          <w:position w:val="17"/>
          <w:sz w:val="24"/>
          <w:szCs w:val="24"/>
          <w:lang w:val="en-US" w:eastAsia="zh-CN"/>
        </w:rPr>
        <w:t xml:space="preserve">EEA </w:t>
      </w:r>
      <w:r>
        <w:rPr>
          <w:rFonts w:hint="eastAsia" w:ascii="Times New Roman" w:hAnsi="Times New Roman" w:eastAsia="宋体" w:cs="Times New Roman"/>
          <w:spacing w:val="1"/>
          <w:position w:val="17"/>
          <w:sz w:val="24"/>
          <w:szCs w:val="24"/>
          <w:lang w:val="en-US" w:eastAsia="zh-CN"/>
        </w:rPr>
        <w:t xml:space="preserve">报告）估算。 </w:t>
      </w:r>
    </w:p>
    <w:p w14:paraId="110239D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c</w:t>
      </w:r>
      <w:r>
        <w:rPr>
          <w:rFonts w:hint="eastAsia" w:ascii="Times New Roman" w:hAnsi="Times New Roman" w:eastAsia="宋体" w:cs="Times New Roman"/>
          <w:spacing w:val="1"/>
          <w:position w:val="17"/>
          <w:sz w:val="24"/>
          <w:szCs w:val="24"/>
          <w:lang w:val="en-US" w:eastAsia="zh-CN"/>
        </w:rPr>
        <w:t>）一致性：企业现场数据收集时同类数据均保持相同的数据来源、统计口径、处理规则等。</w:t>
      </w:r>
    </w:p>
    <w:p w14:paraId="6F64047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2</w:t>
      </w:r>
      <w:r>
        <w:rPr>
          <w:rFonts w:hint="eastAsia" w:ascii="Times New Roman" w:hAnsi="Times New Roman" w:eastAsia="宋体" w:cs="Times New Roman"/>
          <w:spacing w:val="1"/>
          <w:position w:val="17"/>
          <w:sz w:val="24"/>
          <w:szCs w:val="24"/>
          <w:lang w:val="en-US" w:eastAsia="zh-CN"/>
        </w:rPr>
        <w:t xml:space="preserve">）背景数据 </w:t>
      </w:r>
    </w:p>
    <w:p w14:paraId="0F8E1C7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a</w:t>
      </w:r>
      <w:r>
        <w:rPr>
          <w:rFonts w:hint="eastAsia" w:ascii="Times New Roman" w:hAnsi="Times New Roman" w:eastAsia="宋体" w:cs="Times New Roman"/>
          <w:spacing w:val="1"/>
          <w:position w:val="17"/>
          <w:sz w:val="24"/>
          <w:szCs w:val="24"/>
          <w:lang w:val="en-US" w:eastAsia="zh-CN"/>
        </w:rPr>
        <w:t xml:space="preserve">）代表性：优先选择企业的原料供应商提供的符合相关 </w:t>
      </w:r>
      <w:r>
        <w:rPr>
          <w:rFonts w:hint="default" w:ascii="Times New Roman" w:hAnsi="Times New Roman" w:eastAsia="宋体" w:cs="Times New Roman"/>
          <w:spacing w:val="1"/>
          <w:position w:val="17"/>
          <w:sz w:val="24"/>
          <w:szCs w:val="24"/>
          <w:lang w:val="en-US" w:eastAsia="zh-CN"/>
        </w:rPr>
        <w:t xml:space="preserve">PCR </w:t>
      </w:r>
      <w:r>
        <w:rPr>
          <w:rFonts w:hint="eastAsia" w:ascii="Times New Roman" w:hAnsi="Times New Roman" w:eastAsia="宋体" w:cs="Times New Roman"/>
          <w:spacing w:val="1"/>
          <w:position w:val="17"/>
          <w:sz w:val="24"/>
          <w:szCs w:val="24"/>
          <w:lang w:val="en-US" w:eastAsia="zh-CN"/>
        </w:rPr>
        <w:t xml:space="preserve">标准要求、经第三方独立验证的上游产品数据作为背景数据，其次选择近年代表国内行业平均生产水平的公开生命周期评价数据，再次选择国外同类技术数据作为背景数据。 </w:t>
      </w:r>
    </w:p>
    <w:p w14:paraId="362E578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b</w:t>
      </w:r>
      <w:r>
        <w:rPr>
          <w:rFonts w:hint="eastAsia" w:ascii="Times New Roman" w:hAnsi="Times New Roman" w:eastAsia="宋体" w:cs="Times New Roman"/>
          <w:spacing w:val="1"/>
          <w:position w:val="17"/>
          <w:sz w:val="24"/>
          <w:szCs w:val="24"/>
          <w:lang w:val="en-US" w:eastAsia="zh-CN"/>
        </w:rPr>
        <w:t xml:space="preserve">）完整性：背景数据集均收集齐全，背景数据清单的输入与输出流信息完整，企业生产设备等背景数据根据制定的取舍规则舍弃。 </w:t>
      </w:r>
    </w:p>
    <w:p w14:paraId="3D34EEA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lang w:val="en-US" w:eastAsia="zh-CN"/>
        </w:rPr>
      </w:pPr>
      <w:r>
        <w:rPr>
          <w:rFonts w:hint="default" w:ascii="Times New Roman" w:hAnsi="Times New Roman" w:eastAsia="宋体" w:cs="Times New Roman"/>
          <w:spacing w:val="1"/>
          <w:position w:val="17"/>
          <w:sz w:val="24"/>
          <w:szCs w:val="24"/>
          <w:lang w:val="en-US" w:eastAsia="zh-CN"/>
        </w:rPr>
        <w:t>c</w:t>
      </w:r>
      <w:r>
        <w:rPr>
          <w:rFonts w:hint="eastAsia" w:ascii="Times New Roman" w:hAnsi="Times New Roman" w:eastAsia="宋体" w:cs="Times New Roman"/>
          <w:spacing w:val="1"/>
          <w:position w:val="17"/>
          <w:sz w:val="24"/>
          <w:szCs w:val="24"/>
          <w:lang w:val="en-US" w:eastAsia="zh-CN"/>
        </w:rPr>
        <w:t>）一致性：本机构对同类产品背景数据的选择保持一致，当背景数据更新时，本报告也应更新。</w:t>
      </w:r>
    </w:p>
    <w:p w14:paraId="45FAE12B">
      <w:pPr>
        <w:keepNext w:val="0"/>
        <w:keepLines w:val="0"/>
        <w:pageBreakBefore w:val="0"/>
        <w:widowControl/>
        <w:kinsoku w:val="0"/>
        <w:wordWrap/>
        <w:overflowPunct/>
        <w:topLinePunct w:val="0"/>
        <w:autoSpaceDE w:val="0"/>
        <w:autoSpaceDN w:val="0"/>
        <w:bidi w:val="0"/>
        <w:adjustRightInd w:val="0"/>
        <w:snapToGrid w:val="0"/>
        <w:spacing w:before="6" w:after="0" w:afterLines="30" w:line="360" w:lineRule="auto"/>
        <w:ind w:left="0"/>
        <w:jc w:val="both"/>
        <w:textAlignment w:val="baseline"/>
        <w:outlineLvl w:val="2"/>
        <w:rPr>
          <w:rFonts w:hint="default" w:ascii="Times New Roman" w:hAnsi="Times New Roman" w:eastAsia="Times New Roman" w:cs="Times New Roman"/>
          <w:b w:val="0"/>
          <w:bCs w:val="0"/>
          <w:snapToGrid w:val="0"/>
          <w:color w:val="000000"/>
          <w:spacing w:val="-1"/>
          <w:kern w:val="0"/>
          <w:sz w:val="24"/>
          <w:szCs w:val="24"/>
          <w:lang w:val="en-US" w:eastAsia="zh-CN"/>
        </w:rPr>
      </w:pPr>
      <w:r>
        <w:rPr>
          <w:rFonts w:hint="eastAsia" w:ascii="Times New Roman" w:hAnsi="Times New Roman" w:eastAsia="Times New Roman" w:cs="Times New Roman"/>
          <w:b w:val="0"/>
          <w:bCs w:val="0"/>
          <w:spacing w:val="-1"/>
          <w:sz w:val="24"/>
          <w:szCs w:val="24"/>
          <w:lang w:val="en-US" w:eastAsia="zh-CN"/>
        </w:rPr>
        <w:t>3.2.5</w:t>
      </w:r>
      <w:r>
        <w:rPr>
          <w:rFonts w:hint="default" w:ascii="Times New Roman" w:hAnsi="Times New Roman" w:eastAsia="Times New Roman" w:cs="Times New Roman"/>
          <w:b w:val="0"/>
          <w:bCs w:val="0"/>
          <w:spacing w:val="-1"/>
          <w:sz w:val="24"/>
          <w:szCs w:val="24"/>
          <w:lang w:val="en-US" w:eastAsia="zh-CN"/>
        </w:rPr>
        <w:t xml:space="preserve"> </w:t>
      </w:r>
      <w:r>
        <w:rPr>
          <w:rFonts w:hint="default" w:ascii="Times New Roman" w:hAnsi="Times New Roman" w:eastAsia="Times New Roman" w:cs="Times New Roman"/>
          <w:b w:val="0"/>
          <w:bCs w:val="0"/>
          <w:snapToGrid w:val="0"/>
          <w:color w:val="000000"/>
          <w:spacing w:val="-1"/>
          <w:kern w:val="0"/>
          <w:sz w:val="24"/>
          <w:szCs w:val="24"/>
          <w:lang w:val="en-US" w:eastAsia="zh-CN"/>
        </w:rPr>
        <w:t>影响评价</w:t>
      </w:r>
    </w:p>
    <w:p w14:paraId="69721FF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484" w:firstLineChars="200"/>
        <w:jc w:val="both"/>
        <w:textAlignment w:val="baseline"/>
        <w:rPr>
          <w:rFonts w:hint="default"/>
          <w:lang w:val="en-US" w:eastAsia="zh-CN"/>
        </w:rPr>
      </w:pPr>
      <w:r>
        <w:rPr>
          <w:rFonts w:hint="default" w:ascii="Times New Roman" w:hAnsi="Times New Roman" w:eastAsia="宋体" w:cs="Times New Roman"/>
          <w:snapToGrid w:val="0"/>
          <w:color w:val="000000"/>
          <w:spacing w:val="1"/>
          <w:kern w:val="0"/>
          <w:position w:val="17"/>
          <w:sz w:val="24"/>
          <w:szCs w:val="24"/>
          <w:lang w:val="en-US" w:eastAsia="zh-CN"/>
        </w:rPr>
        <w:t xml:space="preserve">采用ReCiPe midpoint(H) </w:t>
      </w:r>
      <w:r>
        <w:rPr>
          <w:rFonts w:hint="eastAsia" w:ascii="Times New Roman" w:hAnsi="Times New Roman" w:eastAsia="宋体" w:cs="Times New Roman"/>
          <w:snapToGrid w:val="0"/>
          <w:color w:val="000000"/>
          <w:spacing w:val="1"/>
          <w:kern w:val="0"/>
          <w:position w:val="17"/>
          <w:sz w:val="24"/>
          <w:szCs w:val="24"/>
          <w:lang w:val="en-US" w:eastAsia="zh-CN"/>
        </w:rPr>
        <w:t>V1.04</w:t>
      </w:r>
      <w:r>
        <w:rPr>
          <w:rFonts w:hint="default" w:ascii="Times New Roman" w:hAnsi="Times New Roman" w:eastAsia="宋体" w:cs="Times New Roman"/>
          <w:snapToGrid w:val="0"/>
          <w:color w:val="000000"/>
          <w:spacing w:val="1"/>
          <w:kern w:val="0"/>
          <w:position w:val="17"/>
          <w:sz w:val="24"/>
          <w:szCs w:val="24"/>
          <w:lang w:val="en-US" w:eastAsia="zh-CN"/>
        </w:rPr>
        <w:t>方法体系对产品生命周期清单进行环境影响评价，产品碳足迹仅选取“全球变暖”环境影响指标进行分析，借助SimaPro软件计算功能单位产品的全球变暖指标值（即产品碳足迹）。</w:t>
      </w:r>
    </w:p>
    <w:p w14:paraId="4DAF62F3">
      <w:pPr>
        <w:keepNext w:val="0"/>
        <w:keepLines w:val="0"/>
        <w:pageBreakBefore w:val="0"/>
        <w:widowControl/>
        <w:kinsoku w:val="0"/>
        <w:wordWrap/>
        <w:overflowPunct/>
        <w:topLinePunct w:val="0"/>
        <w:autoSpaceDE w:val="0"/>
        <w:autoSpaceDN w:val="0"/>
        <w:bidi w:val="0"/>
        <w:adjustRightInd w:val="0"/>
        <w:snapToGrid w:val="0"/>
        <w:spacing w:before="6" w:after="0" w:afterLines="30" w:line="360" w:lineRule="auto"/>
        <w:ind w:left="0"/>
        <w:jc w:val="both"/>
        <w:textAlignment w:val="baseline"/>
        <w:outlineLvl w:val="2"/>
        <w:rPr>
          <w:rFonts w:hint="eastAsia" w:ascii="Times New Roman" w:hAnsi="Times New Roman" w:eastAsia="Times New Roman" w:cs="Times New Roman"/>
          <w:b w:val="0"/>
          <w:bCs w:val="0"/>
          <w:spacing w:val="-1"/>
          <w:sz w:val="24"/>
          <w:szCs w:val="24"/>
          <w:lang w:val="en-US" w:eastAsia="zh-CN"/>
        </w:rPr>
      </w:pPr>
      <w:r>
        <w:rPr>
          <w:rFonts w:hint="eastAsia" w:ascii="Times New Roman" w:hAnsi="Times New Roman" w:eastAsia="Times New Roman" w:cs="Times New Roman"/>
          <w:b w:val="0"/>
          <w:bCs w:val="0"/>
          <w:spacing w:val="-1"/>
          <w:sz w:val="24"/>
          <w:szCs w:val="24"/>
          <w:lang w:val="en-US" w:eastAsia="zh-CN"/>
        </w:rPr>
        <w:t>3.2.6结果解释</w:t>
      </w:r>
    </w:p>
    <w:p w14:paraId="6CA24B5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napToGrid w:val="0"/>
          <w:color w:val="000000"/>
          <w:spacing w:val="1"/>
          <w:kern w:val="0"/>
          <w:position w:val="17"/>
          <w:sz w:val="24"/>
          <w:szCs w:val="24"/>
          <w:highlight w:val="none"/>
          <w:lang w:val="en-US" w:eastAsia="zh-CN"/>
        </w:rPr>
        <w:t>浙江华龙巨水科技股份有限公司</w:t>
      </w:r>
      <w:r>
        <w:rPr>
          <w:rFonts w:hint="eastAsia" w:ascii="Times New Roman" w:hAnsi="Times New Roman" w:eastAsia="宋体" w:cs="Times New Roman"/>
          <w:spacing w:val="1"/>
          <w:position w:val="17"/>
          <w:sz w:val="24"/>
          <w:szCs w:val="24"/>
          <w:lang w:val="en-US" w:eastAsia="zh-CN"/>
        </w:rPr>
        <w:t>生产的</w:t>
      </w:r>
      <w:r>
        <w:rPr>
          <w:rFonts w:hint="eastAsia" w:ascii="Times New Roman" w:hAnsi="Times New Roman" w:eastAsia="宋体" w:cs="Times New Roman"/>
          <w:snapToGrid w:val="0"/>
          <w:color w:val="000000"/>
          <w:spacing w:val="1"/>
          <w:kern w:val="0"/>
          <w:position w:val="17"/>
          <w:sz w:val="24"/>
          <w:szCs w:val="24"/>
          <w:lang w:val="en-US" w:eastAsia="zh-CN"/>
        </w:rPr>
        <w:t>球阀</w:t>
      </w:r>
      <w:r>
        <w:rPr>
          <w:rFonts w:hint="eastAsia" w:ascii="Times New Roman" w:hAnsi="Times New Roman" w:eastAsia="宋体" w:cs="Times New Roman"/>
          <w:spacing w:val="1"/>
          <w:position w:val="17"/>
          <w:sz w:val="24"/>
          <w:szCs w:val="24"/>
          <w:lang w:val="en-US" w:eastAsia="zh-CN"/>
        </w:rPr>
        <w:t>，从</w:t>
      </w:r>
      <w:r>
        <w:rPr>
          <w:rFonts w:hint="eastAsia" w:ascii="Times New Roman" w:hAnsi="Times New Roman" w:eastAsia="宋体" w:cs="Times New Roman"/>
          <w:spacing w:val="1"/>
          <w:position w:val="17"/>
          <w:sz w:val="24"/>
          <w:szCs w:val="24"/>
          <w:u w:val="single"/>
          <w:lang w:val="en-US" w:eastAsia="zh-CN"/>
        </w:rPr>
        <w:t>原料获取</w:t>
      </w:r>
      <w:r>
        <w:rPr>
          <w:rFonts w:hint="eastAsia" w:ascii="Times New Roman" w:hAnsi="Times New Roman" w:eastAsia="宋体" w:cs="Times New Roman"/>
          <w:spacing w:val="1"/>
          <w:position w:val="17"/>
          <w:sz w:val="24"/>
          <w:szCs w:val="24"/>
          <w:lang w:val="en-US" w:eastAsia="zh-CN"/>
        </w:rPr>
        <w:t>到</w:t>
      </w:r>
      <w:r>
        <w:rPr>
          <w:rFonts w:hint="eastAsia" w:ascii="Times New Roman" w:hAnsi="Times New Roman" w:eastAsia="宋体" w:cs="Times New Roman"/>
          <w:spacing w:val="1"/>
          <w:position w:val="17"/>
          <w:sz w:val="24"/>
          <w:szCs w:val="24"/>
          <w:u w:val="single"/>
          <w:lang w:val="en-US" w:eastAsia="zh-CN"/>
        </w:rPr>
        <w:t>产品生产</w:t>
      </w:r>
      <w:r>
        <w:rPr>
          <w:rFonts w:hint="eastAsia" w:ascii="Times New Roman" w:hAnsi="Times New Roman" w:eastAsia="宋体" w:cs="Times New Roman"/>
          <w:spacing w:val="1"/>
          <w:position w:val="17"/>
          <w:sz w:val="24"/>
          <w:szCs w:val="24"/>
          <w:u w:val="none"/>
          <w:lang w:val="en-US" w:eastAsia="zh-CN"/>
        </w:rPr>
        <w:t>阶段的</w:t>
      </w:r>
      <w:r>
        <w:rPr>
          <w:rFonts w:hint="eastAsia" w:ascii="Times New Roman" w:hAnsi="Times New Roman" w:eastAsia="宋体" w:cs="Times New Roman"/>
          <w:spacing w:val="1"/>
          <w:position w:val="17"/>
          <w:sz w:val="24"/>
          <w:szCs w:val="24"/>
          <w:lang w:val="en-US" w:eastAsia="zh-CN"/>
        </w:rPr>
        <w:t>生命周期碳足迹为</w:t>
      </w:r>
      <w:r>
        <w:rPr>
          <w:rFonts w:hint="eastAsia" w:ascii="Times New Roman" w:hAnsi="Times New Roman" w:eastAsia="宋体" w:cs="Times New Roman"/>
          <w:spacing w:val="1"/>
          <w:position w:val="17"/>
          <w:sz w:val="24"/>
          <w:szCs w:val="24"/>
          <w:u w:val="single"/>
          <w:lang w:val="en-US" w:eastAsia="zh-CN"/>
        </w:rPr>
        <w:t xml:space="preserve"> 2.77 </w:t>
      </w:r>
      <w:r>
        <w:rPr>
          <w:rFonts w:hint="eastAsia" w:ascii="Times New Roman" w:hAnsi="Times New Roman" w:eastAsia="宋体" w:cs="Times New Roman"/>
          <w:spacing w:val="1"/>
          <w:position w:val="17"/>
          <w:sz w:val="24"/>
          <w:szCs w:val="24"/>
          <w:lang w:val="en-US" w:eastAsia="zh-CN"/>
        </w:rPr>
        <w:t>kgCO</w:t>
      </w:r>
      <w:r>
        <w:rPr>
          <w:rFonts w:hint="eastAsia" w:ascii="Times New Roman" w:hAnsi="Times New Roman" w:eastAsia="宋体" w:cs="Times New Roman"/>
          <w:spacing w:val="1"/>
          <w:position w:val="17"/>
          <w:sz w:val="24"/>
          <w:szCs w:val="24"/>
          <w:vertAlign w:val="subscript"/>
          <w:lang w:val="en-US" w:eastAsia="zh-CN"/>
        </w:rPr>
        <w:t>2</w:t>
      </w:r>
      <w:r>
        <w:rPr>
          <w:rFonts w:hint="eastAsia" w:ascii="Times New Roman" w:hAnsi="Times New Roman" w:eastAsia="宋体" w:cs="Times New Roman"/>
          <w:spacing w:val="1"/>
          <w:position w:val="17"/>
          <w:sz w:val="24"/>
          <w:szCs w:val="24"/>
          <w:lang w:val="en-US" w:eastAsia="zh-CN"/>
        </w:rPr>
        <w:t>eq.。各生命周期阶段的温室气体排放情况如表7和图7所示。</w:t>
      </w:r>
    </w:p>
    <w:p w14:paraId="02303022">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表7  球阀产品生命周期各阶段碳排放情况</w:t>
      </w:r>
    </w:p>
    <w:tbl>
      <w:tblPr>
        <w:tblStyle w:val="14"/>
        <w:tblW w:w="963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90"/>
        <w:gridCol w:w="2230"/>
        <w:gridCol w:w="1089"/>
        <w:gridCol w:w="1111"/>
        <w:gridCol w:w="1103"/>
        <w:gridCol w:w="1390"/>
        <w:gridCol w:w="1720"/>
      </w:tblGrid>
      <w:tr w14:paraId="67E81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48" w:hRule="atLeast"/>
          <w:jc w:val="center"/>
        </w:trPr>
        <w:tc>
          <w:tcPr>
            <w:tcW w:w="990" w:type="dxa"/>
            <w:vMerge w:val="restart"/>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6AB879B4">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过程</w:t>
            </w:r>
          </w:p>
        </w:tc>
        <w:tc>
          <w:tcPr>
            <w:tcW w:w="22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7AFDEAC">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项目</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B4D320A">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CO</w:t>
            </w:r>
            <w:r>
              <w:rPr>
                <w:rFonts w:hint="default" w:ascii="Times New Roman" w:hAnsi="Times New Roman" w:eastAsia="仿宋" w:cs="Times New Roman"/>
                <w:i w:val="0"/>
                <w:color w:val="000000"/>
                <w:kern w:val="0"/>
                <w:sz w:val="21"/>
                <w:szCs w:val="21"/>
                <w:u w:val="none"/>
                <w:vertAlign w:val="subscript"/>
                <w:lang w:val="en-US" w:eastAsia="zh-CN" w:bidi="ar"/>
              </w:rPr>
              <w:t>2</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4D72A14">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N</w:t>
            </w:r>
            <w:r>
              <w:rPr>
                <w:rFonts w:hint="default" w:ascii="Times New Roman" w:hAnsi="Times New Roman" w:eastAsia="仿宋" w:cs="Times New Roman"/>
                <w:i w:val="0"/>
                <w:color w:val="000000"/>
                <w:kern w:val="0"/>
                <w:sz w:val="21"/>
                <w:szCs w:val="21"/>
                <w:u w:val="none"/>
                <w:vertAlign w:val="subscript"/>
                <w:lang w:val="en-US" w:eastAsia="zh-CN" w:bidi="ar"/>
              </w:rPr>
              <w:t>2</w:t>
            </w:r>
            <w:r>
              <w:rPr>
                <w:rFonts w:hint="default" w:ascii="Times New Roman" w:hAnsi="Times New Roman" w:eastAsia="仿宋" w:cs="Times New Roman"/>
                <w:i w:val="0"/>
                <w:color w:val="000000"/>
                <w:kern w:val="0"/>
                <w:sz w:val="21"/>
                <w:szCs w:val="21"/>
                <w:u w:val="none"/>
                <w:lang w:val="en-US" w:eastAsia="zh-CN" w:bidi="ar"/>
              </w:rPr>
              <w:t>O</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25BAEFA">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CH</w:t>
            </w:r>
            <w:r>
              <w:rPr>
                <w:rFonts w:hint="default" w:ascii="Times New Roman" w:hAnsi="Times New Roman" w:eastAsia="仿宋" w:cs="Times New Roman"/>
                <w:i w:val="0"/>
                <w:color w:val="000000"/>
                <w:kern w:val="0"/>
                <w:sz w:val="21"/>
                <w:szCs w:val="21"/>
                <w:u w:val="none"/>
                <w:vertAlign w:val="subscript"/>
                <w:lang w:val="en-US" w:eastAsia="zh-CN" w:bidi="ar"/>
              </w:rPr>
              <w:t>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8E38D36">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其他温室气体</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79AE426">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温室气体排放总量</w:t>
            </w:r>
          </w:p>
        </w:tc>
      </w:tr>
      <w:tr w14:paraId="14C37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8" w:hRule="atLeast"/>
          <w:jc w:val="center"/>
        </w:trPr>
        <w:tc>
          <w:tcPr>
            <w:tcW w:w="990" w:type="dxa"/>
            <w:vMerge w:val="continue"/>
            <w:tcBorders>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C2BBF29">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3C2A493">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单位</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0459E01">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kg CO</w:t>
            </w:r>
            <w:r>
              <w:rPr>
                <w:rFonts w:hint="default" w:ascii="Times New Roman" w:hAnsi="Times New Roman" w:eastAsia="仿宋" w:cs="Times New Roman"/>
                <w:i w:val="0"/>
                <w:color w:val="000000"/>
                <w:kern w:val="0"/>
                <w:sz w:val="21"/>
                <w:szCs w:val="21"/>
                <w:u w:val="none"/>
                <w:vertAlign w:val="subscript"/>
                <w:lang w:val="en-US" w:eastAsia="zh-CN" w:bidi="ar"/>
              </w:rPr>
              <w:t>2</w:t>
            </w:r>
            <w:r>
              <w:rPr>
                <w:rFonts w:hint="default" w:ascii="Times New Roman" w:hAnsi="Times New Roman" w:eastAsia="仿宋" w:cs="Times New Roman"/>
                <w:i w:val="0"/>
                <w:color w:val="000000"/>
                <w:kern w:val="0"/>
                <w:sz w:val="21"/>
                <w:szCs w:val="21"/>
                <w:u w:val="none"/>
                <w:lang w:val="en-US" w:eastAsia="zh-CN" w:bidi="ar"/>
              </w:rPr>
              <w:t xml:space="preserve"> eq.</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A6FA34E">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kg CO</w:t>
            </w:r>
            <w:r>
              <w:rPr>
                <w:rFonts w:hint="default" w:ascii="Times New Roman" w:hAnsi="Times New Roman" w:eastAsia="仿宋" w:cs="Times New Roman"/>
                <w:i w:val="0"/>
                <w:color w:val="000000"/>
                <w:kern w:val="0"/>
                <w:sz w:val="21"/>
                <w:szCs w:val="21"/>
                <w:u w:val="none"/>
                <w:vertAlign w:val="subscript"/>
                <w:lang w:val="en-US" w:eastAsia="zh-CN" w:bidi="ar"/>
              </w:rPr>
              <w:t>2</w:t>
            </w:r>
            <w:r>
              <w:rPr>
                <w:rFonts w:hint="default" w:ascii="Times New Roman" w:hAnsi="Times New Roman" w:eastAsia="仿宋" w:cs="Times New Roman"/>
                <w:i w:val="0"/>
                <w:color w:val="000000"/>
                <w:kern w:val="0"/>
                <w:sz w:val="21"/>
                <w:szCs w:val="21"/>
                <w:u w:val="none"/>
                <w:lang w:val="en-US" w:eastAsia="zh-CN" w:bidi="ar"/>
              </w:rPr>
              <w:t xml:space="preserve"> eq.</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07166F5">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kg CO</w:t>
            </w:r>
            <w:r>
              <w:rPr>
                <w:rFonts w:hint="default" w:ascii="Times New Roman" w:hAnsi="Times New Roman" w:eastAsia="仿宋" w:cs="Times New Roman"/>
                <w:i w:val="0"/>
                <w:color w:val="000000"/>
                <w:kern w:val="0"/>
                <w:sz w:val="21"/>
                <w:szCs w:val="21"/>
                <w:u w:val="none"/>
                <w:vertAlign w:val="subscript"/>
                <w:lang w:val="en-US" w:eastAsia="zh-CN" w:bidi="ar"/>
              </w:rPr>
              <w:t>2</w:t>
            </w:r>
            <w:r>
              <w:rPr>
                <w:rFonts w:hint="default" w:ascii="Times New Roman" w:hAnsi="Times New Roman" w:eastAsia="仿宋" w:cs="Times New Roman"/>
                <w:i w:val="0"/>
                <w:color w:val="000000"/>
                <w:kern w:val="0"/>
                <w:sz w:val="21"/>
                <w:szCs w:val="21"/>
                <w:u w:val="none"/>
                <w:lang w:val="en-US" w:eastAsia="zh-CN" w:bidi="ar"/>
              </w:rPr>
              <w:t xml:space="preserve"> eq.</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7E02222">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kg CO</w:t>
            </w:r>
            <w:r>
              <w:rPr>
                <w:rFonts w:hint="default" w:ascii="Times New Roman" w:hAnsi="Times New Roman" w:eastAsia="仿宋" w:cs="Times New Roman"/>
                <w:i w:val="0"/>
                <w:color w:val="000000"/>
                <w:kern w:val="0"/>
                <w:sz w:val="21"/>
                <w:szCs w:val="21"/>
                <w:u w:val="none"/>
                <w:vertAlign w:val="subscript"/>
                <w:lang w:val="en-US" w:eastAsia="zh-CN" w:bidi="ar"/>
              </w:rPr>
              <w:t>2</w:t>
            </w:r>
            <w:r>
              <w:rPr>
                <w:rFonts w:hint="default" w:ascii="Times New Roman" w:hAnsi="Times New Roman" w:eastAsia="仿宋" w:cs="Times New Roman"/>
                <w:i w:val="0"/>
                <w:color w:val="000000"/>
                <w:kern w:val="0"/>
                <w:sz w:val="21"/>
                <w:szCs w:val="21"/>
                <w:u w:val="none"/>
                <w:lang w:val="en-US" w:eastAsia="zh-CN" w:bidi="ar"/>
              </w:rPr>
              <w:t xml:space="preserve"> eq.</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DAEE2AC">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kg CO</w:t>
            </w:r>
            <w:r>
              <w:rPr>
                <w:rFonts w:hint="default" w:ascii="Times New Roman" w:hAnsi="Times New Roman" w:eastAsia="仿宋" w:cs="Times New Roman"/>
                <w:i w:val="0"/>
                <w:color w:val="000000"/>
                <w:kern w:val="0"/>
                <w:sz w:val="21"/>
                <w:szCs w:val="21"/>
                <w:u w:val="none"/>
                <w:vertAlign w:val="subscript"/>
                <w:lang w:val="en-US" w:eastAsia="zh-CN" w:bidi="ar"/>
              </w:rPr>
              <w:t>2</w:t>
            </w:r>
            <w:r>
              <w:rPr>
                <w:rFonts w:hint="default" w:ascii="Times New Roman" w:hAnsi="Times New Roman" w:eastAsia="仿宋" w:cs="Times New Roman"/>
                <w:i w:val="0"/>
                <w:color w:val="000000"/>
                <w:kern w:val="0"/>
                <w:sz w:val="21"/>
                <w:szCs w:val="21"/>
                <w:u w:val="none"/>
                <w:lang w:val="en-US" w:eastAsia="zh-CN" w:bidi="ar"/>
              </w:rPr>
              <w:t xml:space="preserve"> eq.</w:t>
            </w:r>
          </w:p>
        </w:tc>
      </w:tr>
      <w:tr w14:paraId="01D8A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5"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0CDC51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产品生产</w:t>
            </w:r>
          </w:p>
        </w:tc>
        <w:tc>
          <w:tcPr>
            <w:tcW w:w="22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E2F345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闸阀</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534424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0.00E+00</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DBE926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0.00E+00</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58D021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0.00E+00</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BC1DD6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0.00E+00</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99E5E2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0.00E+00</w:t>
            </w:r>
          </w:p>
        </w:tc>
      </w:tr>
      <w:tr w14:paraId="4C293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99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3B7CD2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原</w:t>
            </w:r>
            <w:r>
              <w:rPr>
                <w:rFonts w:hint="eastAsia" w:eastAsia="仿宋" w:cs="Times New Roman"/>
                <w:i w:val="0"/>
                <w:iCs w:val="0"/>
                <w:color w:val="000000"/>
                <w:kern w:val="0"/>
                <w:sz w:val="21"/>
                <w:szCs w:val="21"/>
                <w:u w:val="none"/>
                <w:lang w:val="en-US" w:eastAsia="zh-CN" w:bidi="ar"/>
              </w:rPr>
              <w:t>料</w:t>
            </w:r>
            <w:r>
              <w:rPr>
                <w:rFonts w:hint="default" w:ascii="Times New Roman" w:hAnsi="Times New Roman" w:eastAsia="仿宋" w:cs="Times New Roman"/>
                <w:i w:val="0"/>
                <w:iCs w:val="0"/>
                <w:color w:val="000000"/>
                <w:kern w:val="0"/>
                <w:sz w:val="21"/>
                <w:szCs w:val="21"/>
                <w:u w:val="none"/>
                <w:lang w:val="en-US" w:eastAsia="zh-CN" w:bidi="ar"/>
              </w:rPr>
              <w:t>生产</w:t>
            </w: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57E01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生铁</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A54027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7.56E-01</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CD15F4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3.23E-03</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7B0B18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1.13E-01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81D4FC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1.44E-03</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6F533F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8.73E-01</w:t>
            </w:r>
          </w:p>
        </w:tc>
      </w:tr>
      <w:tr w14:paraId="4EA0F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8E024B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00A17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废钢</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916185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3.96E-02</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CA29E8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6.76E-04</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6F8B00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4.16E-03</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9CDCF3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2.49E-04</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F7EB58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4.46E-02</w:t>
            </w:r>
          </w:p>
        </w:tc>
      </w:tr>
      <w:tr w14:paraId="36730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AB7EA8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528A0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硅铁</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F42370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5.26E-03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DDD518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3.03E-05</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069668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7.04E-04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1BBBEC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1.40E-05</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A5B410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6.00E-03</w:t>
            </w:r>
          </w:p>
        </w:tc>
      </w:tr>
      <w:tr w14:paraId="40E88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37BFBF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2E0CF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锰铁</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E96311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4.15E-03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31FA86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5.08E-05</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E12774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3.39E-04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38EC2D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1.78E-05</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354386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4.56E-03</w:t>
            </w:r>
          </w:p>
        </w:tc>
      </w:tr>
      <w:tr w14:paraId="35E74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9AC3C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95674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闸板包胶/QT450</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085FDC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1.21E-01</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7885E3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1.55E-03</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76D137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1.52E-02</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3FCCA5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3.60E-04</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91F406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1.38E-01</w:t>
            </w:r>
          </w:p>
        </w:tc>
      </w:tr>
      <w:tr w14:paraId="5815C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E36DAA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5B0CB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闸板包胶/EPDM</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6E7705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1.38E-02</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EE8738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1.77E-04</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01534B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1.73E-03</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9BB723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4.11E-05</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945AD8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1.57E-02</w:t>
            </w:r>
          </w:p>
        </w:tc>
      </w:tr>
      <w:tr w14:paraId="5F756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85E8D3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2D5CE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仿宋" w:cs="Times New Roman"/>
                <w:i w:val="0"/>
                <w:iCs w:val="0"/>
                <w:color w:val="000000"/>
                <w:kern w:val="0"/>
                <w:sz w:val="21"/>
                <w:szCs w:val="21"/>
                <w:u w:val="none"/>
                <w:lang w:val="en-US" w:eastAsia="zh-CN" w:bidi="ar"/>
              </w:rPr>
            </w:pPr>
            <w:r>
              <w:rPr>
                <w:rFonts w:hint="eastAsia" w:ascii="Times New Roman" w:hAnsi="Times New Roman" w:eastAsia="仿宋" w:cs="Times New Roman"/>
                <w:i w:val="0"/>
                <w:iCs w:val="0"/>
                <w:color w:val="000000"/>
                <w:kern w:val="0"/>
                <w:sz w:val="21"/>
                <w:szCs w:val="21"/>
                <w:u w:val="none"/>
                <w:lang w:val="en-US" w:eastAsia="zh-CN" w:bidi="ar"/>
              </w:rPr>
              <w:t>阀杆</w:t>
            </w:r>
            <w:r>
              <w:rPr>
                <w:rFonts w:hint="default" w:ascii="Times New Roman" w:hAnsi="Times New Roman" w:eastAsia="仿宋" w:cs="Times New Roman"/>
                <w:i w:val="0"/>
                <w:iCs w:val="0"/>
                <w:color w:val="000000"/>
                <w:kern w:val="0"/>
                <w:sz w:val="21"/>
                <w:szCs w:val="21"/>
                <w:u w:val="none"/>
                <w:lang w:val="en-US" w:eastAsia="zh-CN" w:bidi="ar"/>
              </w:rPr>
              <w:t>/20Cr13</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58A968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7.58E-02</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37F2C1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5.97E-04</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7E1C3B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7.98E-03</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1C93B8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1.15E-04</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1AD540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8.44E-02</w:t>
            </w:r>
          </w:p>
        </w:tc>
      </w:tr>
      <w:tr w14:paraId="49DB3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B6129F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117E4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eastAsia" w:ascii="Times New Roman" w:hAnsi="Times New Roman" w:eastAsia="仿宋" w:cs="Times New Roman"/>
                <w:i w:val="0"/>
                <w:iCs w:val="0"/>
                <w:color w:val="000000"/>
                <w:kern w:val="0"/>
                <w:sz w:val="21"/>
                <w:szCs w:val="21"/>
                <w:u w:val="none"/>
                <w:lang w:val="en-US" w:eastAsia="zh-CN" w:bidi="ar"/>
              </w:rPr>
              <w:t>阀杆螺母</w:t>
            </w:r>
            <w:r>
              <w:rPr>
                <w:rFonts w:hint="default" w:ascii="Times New Roman" w:hAnsi="Times New Roman" w:eastAsia="仿宋" w:cs="Times New Roman"/>
                <w:i w:val="0"/>
                <w:iCs w:val="0"/>
                <w:color w:val="000000"/>
                <w:kern w:val="0"/>
                <w:sz w:val="21"/>
                <w:szCs w:val="21"/>
                <w:u w:val="none"/>
                <w:lang w:val="en-US" w:eastAsia="zh-CN" w:bidi="ar"/>
              </w:rPr>
              <w:t>/20Cr13</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BFADF6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3.29E-03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264DBC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2.59E-05</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FE7B7F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3.46E-04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77EFBD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4.97E-06</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48C0D1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3.67E-03</w:t>
            </w:r>
          </w:p>
        </w:tc>
      </w:tr>
      <w:tr w14:paraId="1C8EA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090C0A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D81C8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eastAsia" w:ascii="Times New Roman" w:hAnsi="Times New Roman" w:eastAsia="仿宋" w:cs="Times New Roman"/>
                <w:i w:val="0"/>
                <w:iCs w:val="0"/>
                <w:color w:val="000000"/>
                <w:kern w:val="0"/>
                <w:sz w:val="21"/>
                <w:szCs w:val="21"/>
                <w:u w:val="none"/>
                <w:lang w:val="en-US" w:eastAsia="zh-CN" w:bidi="ar"/>
              </w:rPr>
              <w:t>中口螺栓</w:t>
            </w:r>
            <w:r>
              <w:rPr>
                <w:rFonts w:hint="default" w:ascii="Times New Roman" w:hAnsi="Times New Roman" w:eastAsia="仿宋" w:cs="Times New Roman"/>
                <w:i w:val="0"/>
                <w:iCs w:val="0"/>
                <w:color w:val="000000"/>
                <w:kern w:val="0"/>
                <w:sz w:val="21"/>
                <w:szCs w:val="21"/>
                <w:u w:val="none"/>
                <w:lang w:val="en-US" w:eastAsia="zh-CN" w:bidi="ar"/>
              </w:rPr>
              <w:t>/35#</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23D132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3.14E-03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CE6EB6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2.43E-05</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086D35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3.72E-04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490203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7.65E-06</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1E17B7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3.55E-03</w:t>
            </w:r>
          </w:p>
        </w:tc>
      </w:tr>
      <w:tr w14:paraId="0238D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CB7A53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4AAFF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蒙古砂</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CBEB64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1.10E-03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E0FB94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9.65E-06</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4C032A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5.38E-05</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B4D1B5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2.09E-06</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6F0722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1.17E-03</w:t>
            </w:r>
          </w:p>
        </w:tc>
      </w:tr>
      <w:tr w14:paraId="567AC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9838F1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C2A34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铸元素</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F5F9F0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5.77E-03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AC843C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5.69E-05</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15855D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3.25E-04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6C3E7E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1.04E-05</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C477FE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6.17E-03</w:t>
            </w:r>
          </w:p>
        </w:tc>
      </w:tr>
      <w:tr w14:paraId="1BFC8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ABFA85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349F1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环保覆膜砂</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4A40F6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3.25E-03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74B3BC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2.85E-05</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310A3C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1.59E-04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28D082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6.17E-06</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33850C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3.44E-03</w:t>
            </w:r>
          </w:p>
        </w:tc>
      </w:tr>
      <w:tr w14:paraId="525FF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88A8BA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84341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塑粉/环氧树脂粉末涂料</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B4DA4D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5.17E-02</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845C38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2.84E-04</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361EA6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9.99E-03</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EA4B6A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1.72E-04</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2ADCD7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6.21E-02</w:t>
            </w:r>
          </w:p>
        </w:tc>
      </w:tr>
      <w:tr w14:paraId="68CCA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0B833F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67C26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包装材料:纸箱</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307648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5.37E-03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BE3C7E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1.56E-04</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C926E8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8.73E-04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A0D000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1.31E-05</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4C102A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6.41E-03</w:t>
            </w:r>
          </w:p>
        </w:tc>
      </w:tr>
      <w:tr w14:paraId="02E71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DDF227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78CD2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包装材料:珍珠棉</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2447E1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2.98E-03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66023C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1.87E-05</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B109FF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6.80E-04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12D7D2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6.51E-06</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CC7330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3.69E-03</w:t>
            </w:r>
          </w:p>
        </w:tc>
      </w:tr>
      <w:tr w14:paraId="55435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99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009942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DEA28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包装材料：缠绕膜</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4D912B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1.92E-03</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B7B00E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1.39E-05</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07E54F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3.83E-04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DF1E9F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5.18E-06</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43CB80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2.32E-03</w:t>
            </w:r>
          </w:p>
        </w:tc>
      </w:tr>
      <w:tr w14:paraId="01418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jc w:val="center"/>
        </w:trPr>
        <w:tc>
          <w:tcPr>
            <w:tcW w:w="990"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EDE53A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eastAsia" w:ascii="Times New Roman" w:hAnsi="Times New Roman" w:eastAsia="仿宋" w:cs="Times New Roman"/>
                <w:i w:val="0"/>
                <w:iCs w:val="0"/>
                <w:color w:val="000000"/>
                <w:kern w:val="0"/>
                <w:sz w:val="21"/>
                <w:szCs w:val="21"/>
                <w:u w:val="none"/>
                <w:lang w:val="en-US" w:eastAsia="zh-CN" w:bidi="ar"/>
              </w:rPr>
              <w:t>能源生产</w:t>
            </w: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B57BE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电力</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B987C1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1.39E+00</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7DA867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1.60E-02</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825893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1.52E-01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5246BB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4.76E-04</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6EB89A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1.56E+00</w:t>
            </w:r>
          </w:p>
        </w:tc>
      </w:tr>
      <w:tr w14:paraId="7E968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jc w:val="center"/>
        </w:trPr>
        <w:tc>
          <w:tcPr>
            <w:tcW w:w="990"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7E9088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eastAsia" w:ascii="Times New Roman" w:hAnsi="Times New Roman" w:eastAsia="仿宋" w:cs="Times New Roman"/>
                <w:i w:val="0"/>
                <w:iCs w:val="0"/>
                <w:color w:val="000000"/>
                <w:kern w:val="0"/>
                <w:sz w:val="21"/>
                <w:szCs w:val="21"/>
                <w:u w:val="none"/>
                <w:lang w:val="en-US" w:eastAsia="zh-CN" w:bidi="ar"/>
              </w:rPr>
              <w:t>运输</w:t>
            </w: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D1EA2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公路运输</w:t>
            </w: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412B10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7.39E-02</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8C993C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5.43E-04</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57CE1F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2.09E-03</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0804EE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6.16E-05</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C3A5EC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7.66E-02</w:t>
            </w:r>
          </w:p>
        </w:tc>
      </w:tr>
      <w:tr w14:paraId="39896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4" w:hRule="atLeast"/>
          <w:jc w:val="center"/>
        </w:trPr>
        <w:tc>
          <w:tcPr>
            <w:tcW w:w="7913"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182BD7A">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default" w:ascii="Times New Roman" w:hAnsi="Times New Roman" w:eastAsia="仿宋" w:cs="Times New Roman"/>
                <w:i w:val="0"/>
                <w:color w:val="000000"/>
                <w:kern w:val="0"/>
                <w:sz w:val="21"/>
                <w:szCs w:val="21"/>
                <w:u w:val="none"/>
                <w:lang w:val="en-US" w:eastAsia="zh-CN" w:bidi="ar"/>
              </w:rPr>
              <w:t>每功能单位产品碳足迹</w:t>
            </w:r>
          </w:p>
        </w:tc>
        <w:tc>
          <w:tcPr>
            <w:tcW w:w="1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9983C13">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bottom"/>
              <w:rPr>
                <w:rFonts w:hint="default" w:ascii="Times New Roman" w:hAnsi="Times New Roman" w:eastAsia="仿宋" w:cs="Times New Roman"/>
                <w:i w:val="0"/>
                <w:color w:val="000000"/>
                <w:kern w:val="0"/>
                <w:sz w:val="21"/>
                <w:szCs w:val="21"/>
                <w:u w:val="none"/>
                <w:lang w:val="en-US" w:eastAsia="zh-CN" w:bidi="ar"/>
              </w:rPr>
            </w:pPr>
            <w:r>
              <w:rPr>
                <w:rFonts w:hint="eastAsia" w:eastAsia="仿宋" w:cs="Times New Roman"/>
                <w:i w:val="0"/>
                <w:color w:val="000000"/>
                <w:kern w:val="0"/>
                <w:sz w:val="21"/>
                <w:szCs w:val="21"/>
                <w:u w:val="none"/>
                <w:lang w:val="en-US" w:eastAsia="zh-CN" w:bidi="ar"/>
              </w:rPr>
              <w:t>2.89</w:t>
            </w:r>
            <w:r>
              <w:rPr>
                <w:rFonts w:hint="default" w:ascii="Times New Roman" w:hAnsi="Times New Roman" w:eastAsia="仿宋" w:cs="Times New Roman"/>
                <w:i w:val="0"/>
                <w:color w:val="000000"/>
                <w:kern w:val="0"/>
                <w:sz w:val="21"/>
                <w:szCs w:val="21"/>
                <w:u w:val="none"/>
                <w:lang w:val="en-US" w:eastAsia="zh-CN" w:bidi="ar"/>
              </w:rPr>
              <w:t>E+0</w:t>
            </w:r>
            <w:r>
              <w:rPr>
                <w:rFonts w:hint="eastAsia" w:eastAsia="仿宋" w:cs="Times New Roman"/>
                <w:i w:val="0"/>
                <w:color w:val="000000"/>
                <w:kern w:val="0"/>
                <w:sz w:val="21"/>
                <w:szCs w:val="21"/>
                <w:u w:val="none"/>
                <w:lang w:val="en-US" w:eastAsia="zh-CN" w:bidi="ar"/>
              </w:rPr>
              <w:t>0</w:t>
            </w:r>
          </w:p>
        </w:tc>
      </w:tr>
    </w:tbl>
    <w:p w14:paraId="091C3D36">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pPr>
      <w:r>
        <w:drawing>
          <wp:inline distT="0" distB="0" distL="114300" distR="114300">
            <wp:extent cx="4321175" cy="2178050"/>
            <wp:effectExtent l="4445" t="4445" r="17780" b="12065"/>
            <wp:docPr id="8"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4B67B45">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 xml:space="preserve">图7  </w:t>
      </w:r>
      <w:r>
        <w:rPr>
          <w:rFonts w:hint="eastAsia" w:ascii="Times New Roman" w:hAnsi="Times New Roman" w:eastAsia="宋体" w:cs="Times New Roman"/>
          <w:snapToGrid w:val="0"/>
          <w:color w:val="000000"/>
          <w:spacing w:val="1"/>
          <w:kern w:val="0"/>
          <w:position w:val="17"/>
          <w:sz w:val="24"/>
          <w:szCs w:val="24"/>
          <w:lang w:val="en-US" w:eastAsia="zh-CN"/>
        </w:rPr>
        <w:t>球阀</w:t>
      </w:r>
      <w:r>
        <w:rPr>
          <w:rFonts w:hint="eastAsia" w:ascii="Times New Roman" w:hAnsi="Times New Roman" w:eastAsia="宋体" w:cs="Times New Roman"/>
          <w:spacing w:val="1"/>
          <w:position w:val="17"/>
          <w:sz w:val="24"/>
          <w:szCs w:val="24"/>
          <w:lang w:val="en-US" w:eastAsia="zh-CN"/>
        </w:rPr>
        <w:t>产品</w:t>
      </w:r>
      <w:r>
        <w:rPr>
          <w:rFonts w:hint="default" w:ascii="Times New Roman" w:hAnsi="Times New Roman" w:eastAsia="宋体" w:cs="Times New Roman"/>
          <w:snapToGrid w:val="0"/>
          <w:color w:val="000000"/>
          <w:spacing w:val="1"/>
          <w:kern w:val="0"/>
          <w:position w:val="17"/>
          <w:sz w:val="24"/>
          <w:szCs w:val="24"/>
          <w:lang w:val="en-US" w:eastAsia="zh-CN"/>
        </w:rPr>
        <w:t>各生命周期阶段对碳足迹的贡献比例</w:t>
      </w:r>
    </w:p>
    <w:p w14:paraId="13F2B305">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default" w:ascii="Times New Roman" w:hAnsi="Times New Roman" w:eastAsia="宋体" w:cs="Times New Roman"/>
          <w:spacing w:val="1"/>
          <w:position w:val="17"/>
          <w:sz w:val="24"/>
          <w:szCs w:val="24"/>
          <w:highlight w:val="none"/>
          <w:lang w:val="en-US" w:eastAsia="zh-CN"/>
        </w:rPr>
      </w:pPr>
      <w:r>
        <w:rPr>
          <w:rFonts w:hint="eastAsia" w:ascii="Times New Roman" w:hAnsi="Times New Roman" w:eastAsia="宋体" w:cs="Times New Roman"/>
          <w:spacing w:val="1"/>
          <w:position w:val="17"/>
          <w:sz w:val="24"/>
          <w:szCs w:val="24"/>
          <w:highlight w:val="none"/>
          <w:lang w:val="en-US" w:eastAsia="zh-CN"/>
        </w:rPr>
        <w:t>3.3 截止阀</w:t>
      </w:r>
    </w:p>
    <w:p w14:paraId="40DA6F15">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default" w:ascii="Times New Roman" w:hAnsi="Times New Roman" w:eastAsia="宋体" w:cs="Times New Roman"/>
          <w:spacing w:val="1"/>
          <w:position w:val="17"/>
          <w:sz w:val="24"/>
          <w:szCs w:val="24"/>
          <w:highlight w:val="none"/>
          <w:lang w:val="en-US" w:eastAsia="zh-CN"/>
        </w:rPr>
      </w:pPr>
      <w:r>
        <w:rPr>
          <w:rFonts w:hint="eastAsia" w:ascii="Times New Roman" w:hAnsi="Times New Roman" w:eastAsia="宋体" w:cs="Times New Roman"/>
          <w:spacing w:val="1"/>
          <w:position w:val="17"/>
          <w:sz w:val="24"/>
          <w:szCs w:val="24"/>
          <w:highlight w:val="none"/>
          <w:lang w:val="en-US" w:eastAsia="zh-CN"/>
        </w:rPr>
        <w:t>3.3</w:t>
      </w:r>
      <w:r>
        <w:rPr>
          <w:rFonts w:hint="default" w:ascii="Times New Roman" w:hAnsi="Times New Roman" w:eastAsia="宋体" w:cs="Times New Roman"/>
          <w:spacing w:val="1"/>
          <w:position w:val="17"/>
          <w:sz w:val="24"/>
          <w:szCs w:val="24"/>
          <w:highlight w:val="none"/>
          <w:lang w:val="en-US" w:eastAsia="zh-CN"/>
        </w:rPr>
        <w:t>.</w:t>
      </w:r>
      <w:r>
        <w:rPr>
          <w:rFonts w:hint="eastAsia" w:ascii="Times New Roman" w:hAnsi="Times New Roman" w:eastAsia="宋体" w:cs="Times New Roman"/>
          <w:spacing w:val="1"/>
          <w:position w:val="17"/>
          <w:sz w:val="24"/>
          <w:szCs w:val="24"/>
          <w:highlight w:val="none"/>
          <w:lang w:val="en-US" w:eastAsia="zh-CN"/>
        </w:rPr>
        <w:t xml:space="preserve">1 </w:t>
      </w:r>
      <w:r>
        <w:rPr>
          <w:rFonts w:hint="default" w:ascii="Times New Roman" w:hAnsi="Times New Roman" w:eastAsia="宋体" w:cs="Times New Roman"/>
          <w:spacing w:val="1"/>
          <w:position w:val="17"/>
          <w:sz w:val="24"/>
          <w:szCs w:val="24"/>
          <w:highlight w:val="none"/>
          <w:lang w:val="en-US" w:eastAsia="zh-CN"/>
        </w:rPr>
        <w:t>产品</w:t>
      </w:r>
      <w:r>
        <w:rPr>
          <w:rFonts w:hint="eastAsia" w:ascii="Times New Roman" w:hAnsi="Times New Roman" w:eastAsia="宋体" w:cs="Times New Roman"/>
          <w:spacing w:val="1"/>
          <w:position w:val="17"/>
          <w:sz w:val="24"/>
          <w:szCs w:val="24"/>
          <w:highlight w:val="none"/>
          <w:lang w:val="en-US" w:eastAsia="zh-CN"/>
        </w:rPr>
        <w:t>描述</w:t>
      </w:r>
    </w:p>
    <w:p w14:paraId="4EEA766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napToGrid w:val="0"/>
          <w:color w:val="000000"/>
          <w:spacing w:val="1"/>
          <w:kern w:val="0"/>
          <w:position w:val="17"/>
          <w:sz w:val="24"/>
          <w:szCs w:val="24"/>
          <w:lang w:val="en-US" w:eastAsia="zh-CN"/>
        </w:rPr>
      </w:pPr>
      <w:r>
        <w:rPr>
          <w:rFonts w:hint="default" w:ascii="Times New Roman" w:hAnsi="Times New Roman" w:eastAsia="宋体" w:cs="Times New Roman"/>
          <w:snapToGrid w:val="0"/>
          <w:color w:val="000000"/>
          <w:spacing w:val="1"/>
          <w:kern w:val="0"/>
          <w:position w:val="17"/>
          <w:sz w:val="24"/>
          <w:szCs w:val="24"/>
          <w:lang w:val="en-US" w:eastAsia="zh-CN"/>
        </w:rPr>
        <w:t>产品名称：</w:t>
      </w:r>
      <w:r>
        <w:rPr>
          <w:rFonts w:hint="eastAsia" w:ascii="Times New Roman" w:hAnsi="Times New Roman" w:eastAsia="宋体" w:cs="Times New Roman"/>
          <w:snapToGrid w:val="0"/>
          <w:color w:val="000000"/>
          <w:spacing w:val="1"/>
          <w:kern w:val="0"/>
          <w:position w:val="17"/>
          <w:sz w:val="24"/>
          <w:szCs w:val="24"/>
          <w:lang w:val="en-US" w:eastAsia="zh-CN"/>
        </w:rPr>
        <w:t>截止阀 ；</w:t>
      </w:r>
    </w:p>
    <w:p w14:paraId="6FD62E6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napToGrid w:val="0"/>
          <w:color w:val="000000"/>
          <w:spacing w:val="1"/>
          <w:kern w:val="0"/>
          <w:position w:val="17"/>
          <w:sz w:val="24"/>
          <w:szCs w:val="24"/>
          <w:lang w:val="en-US" w:eastAsia="zh-CN"/>
        </w:rPr>
      </w:pPr>
      <w:r>
        <w:rPr>
          <w:rFonts w:hint="default" w:ascii="Times New Roman" w:hAnsi="Times New Roman" w:eastAsia="宋体" w:cs="Times New Roman"/>
          <w:snapToGrid w:val="0"/>
          <w:color w:val="000000"/>
          <w:spacing w:val="1"/>
          <w:kern w:val="0"/>
          <w:position w:val="17"/>
          <w:sz w:val="24"/>
          <w:szCs w:val="24"/>
          <w:lang w:val="en-US" w:eastAsia="zh-CN"/>
        </w:rPr>
        <w:t>产品规格型号：</w:t>
      </w:r>
      <w:r>
        <w:rPr>
          <w:rFonts w:hint="eastAsia" w:ascii="Times New Roman" w:hAnsi="Times New Roman" w:eastAsia="宋体" w:cs="Times New Roman"/>
          <w:snapToGrid w:val="0"/>
          <w:color w:val="000000"/>
          <w:spacing w:val="1"/>
          <w:kern w:val="0"/>
          <w:position w:val="17"/>
          <w:sz w:val="24"/>
          <w:szCs w:val="24"/>
          <w:lang w:val="en-US" w:eastAsia="zh-CN"/>
        </w:rPr>
        <w:t>截止</w:t>
      </w:r>
      <w:r>
        <w:rPr>
          <w:rFonts w:hint="default" w:ascii="Times New Roman" w:hAnsi="Times New Roman" w:eastAsia="宋体" w:cs="Times New Roman"/>
          <w:snapToGrid w:val="0"/>
          <w:color w:val="000000"/>
          <w:spacing w:val="1"/>
          <w:kern w:val="0"/>
          <w:position w:val="17"/>
          <w:sz w:val="24"/>
          <w:szCs w:val="24"/>
          <w:lang w:val="en-US" w:eastAsia="zh-CN"/>
        </w:rPr>
        <w:t>阀（DN15</w:t>
      </w:r>
      <w:r>
        <w:rPr>
          <w:rFonts w:hint="eastAsia" w:ascii="Times New Roman" w:hAnsi="Times New Roman" w:eastAsia="宋体" w:cs="Times New Roman"/>
          <w:snapToGrid w:val="0"/>
          <w:color w:val="000000"/>
          <w:spacing w:val="1"/>
          <w:kern w:val="0"/>
          <w:position w:val="17"/>
          <w:sz w:val="24"/>
          <w:szCs w:val="24"/>
          <w:lang w:val="en-US" w:eastAsia="zh-CN"/>
        </w:rPr>
        <w:t>～</w:t>
      </w:r>
      <w:r>
        <w:rPr>
          <w:rFonts w:hint="default" w:ascii="Times New Roman" w:hAnsi="Times New Roman" w:eastAsia="宋体" w:cs="Times New Roman"/>
          <w:snapToGrid w:val="0"/>
          <w:color w:val="000000"/>
          <w:spacing w:val="1"/>
          <w:kern w:val="0"/>
          <w:position w:val="17"/>
          <w:sz w:val="24"/>
          <w:szCs w:val="24"/>
          <w:lang w:val="en-US" w:eastAsia="zh-CN"/>
        </w:rPr>
        <w:t>DN50</w:t>
      </w:r>
      <w:r>
        <w:rPr>
          <w:rFonts w:hint="eastAsia" w:ascii="Times New Roman" w:hAnsi="Times New Roman" w:eastAsia="宋体" w:cs="Times New Roman"/>
          <w:snapToGrid w:val="0"/>
          <w:color w:val="000000"/>
          <w:spacing w:val="1"/>
          <w:kern w:val="0"/>
          <w:position w:val="17"/>
          <w:sz w:val="24"/>
          <w:szCs w:val="24"/>
          <w:lang w:val="en-US" w:eastAsia="zh-CN"/>
        </w:rPr>
        <w:t>）</w:t>
      </w:r>
    </w:p>
    <w:p w14:paraId="6483D262">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default"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3.3.2 量化</w:t>
      </w:r>
      <w:r>
        <w:rPr>
          <w:rFonts w:hint="default" w:ascii="Times New Roman" w:hAnsi="Times New Roman" w:eastAsia="宋体" w:cs="Times New Roman"/>
          <w:spacing w:val="1"/>
          <w:position w:val="17"/>
          <w:sz w:val="24"/>
          <w:szCs w:val="24"/>
          <w:lang w:val="en-US" w:eastAsia="zh-CN"/>
        </w:rPr>
        <w:t>目的</w:t>
      </w:r>
    </w:p>
    <w:p w14:paraId="03044C5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napToGrid w:val="0"/>
          <w:color w:val="000000"/>
          <w:spacing w:val="1"/>
          <w:kern w:val="0"/>
          <w:position w:val="17"/>
          <w:sz w:val="24"/>
          <w:szCs w:val="24"/>
          <w:lang w:val="en-US" w:eastAsia="zh-CN"/>
        </w:rPr>
        <w:t>通过</w:t>
      </w:r>
      <w:r>
        <w:rPr>
          <w:rFonts w:hint="default" w:ascii="Times New Roman" w:hAnsi="Times New Roman" w:eastAsia="宋体" w:cs="Times New Roman"/>
          <w:snapToGrid w:val="0"/>
          <w:color w:val="000000"/>
          <w:spacing w:val="1"/>
          <w:kern w:val="0"/>
          <w:position w:val="17"/>
          <w:sz w:val="24"/>
          <w:szCs w:val="24"/>
          <w:lang w:val="en-US" w:eastAsia="zh-CN"/>
        </w:rPr>
        <w:t>量化</w:t>
      </w:r>
      <w:r>
        <w:rPr>
          <w:rFonts w:hint="eastAsia" w:ascii="Times New Roman" w:hAnsi="Times New Roman" w:eastAsia="宋体" w:cs="Times New Roman"/>
          <w:snapToGrid w:val="0"/>
          <w:color w:val="000000"/>
          <w:spacing w:val="1"/>
          <w:kern w:val="0"/>
          <w:position w:val="17"/>
          <w:sz w:val="24"/>
          <w:szCs w:val="24"/>
          <w:lang w:val="en-US" w:eastAsia="zh-CN"/>
        </w:rPr>
        <w:t>建筑阀门</w:t>
      </w:r>
      <w:r>
        <w:rPr>
          <w:rFonts w:hint="default" w:ascii="Times New Roman" w:hAnsi="Times New Roman" w:eastAsia="宋体" w:cs="Times New Roman"/>
          <w:snapToGrid w:val="0"/>
          <w:color w:val="000000"/>
          <w:spacing w:val="1"/>
          <w:kern w:val="0"/>
          <w:position w:val="17"/>
          <w:sz w:val="24"/>
          <w:szCs w:val="24"/>
          <w:lang w:val="en-US" w:eastAsia="zh-CN"/>
        </w:rPr>
        <w:t>产品生命周期或选定</w:t>
      </w:r>
      <w:r>
        <w:rPr>
          <w:rFonts w:hint="eastAsia" w:ascii="Times New Roman" w:hAnsi="Times New Roman" w:eastAsia="宋体" w:cs="Times New Roman"/>
          <w:snapToGrid w:val="0"/>
          <w:color w:val="000000"/>
          <w:spacing w:val="1"/>
          <w:kern w:val="0"/>
          <w:position w:val="17"/>
          <w:sz w:val="24"/>
          <w:szCs w:val="24"/>
          <w:lang w:val="en-US" w:eastAsia="zh-CN"/>
        </w:rPr>
        <w:t>阶段</w:t>
      </w:r>
      <w:r>
        <w:rPr>
          <w:rFonts w:hint="default" w:ascii="Times New Roman" w:hAnsi="Times New Roman" w:eastAsia="宋体" w:cs="Times New Roman"/>
          <w:snapToGrid w:val="0"/>
          <w:color w:val="000000"/>
          <w:spacing w:val="1"/>
          <w:kern w:val="0"/>
          <w:position w:val="17"/>
          <w:sz w:val="24"/>
          <w:szCs w:val="24"/>
          <w:lang w:val="en-US" w:eastAsia="zh-CN"/>
        </w:rPr>
        <w:t>的温室气体排放量和清除量（以二氧化碳当量表示），</w:t>
      </w:r>
      <w:r>
        <w:rPr>
          <w:rFonts w:hint="eastAsia" w:ascii="Times New Roman" w:hAnsi="Times New Roman" w:eastAsia="宋体" w:cs="Times New Roman"/>
          <w:snapToGrid w:val="0"/>
          <w:color w:val="000000"/>
          <w:spacing w:val="1"/>
          <w:kern w:val="0"/>
          <w:position w:val="17"/>
          <w:sz w:val="24"/>
          <w:szCs w:val="24"/>
          <w:lang w:val="en-US" w:eastAsia="zh-CN"/>
        </w:rPr>
        <w:t>评价产品对气候变化的潜在影响；用于生产者与上下游供应链或消费者之间的温室气体排放信息沟通；用于生产者降低产品碳足迹的设计与改进以及同类产品间的对比</w:t>
      </w:r>
      <w:r>
        <w:rPr>
          <w:rFonts w:hint="default" w:ascii="Times New Roman" w:hAnsi="Times New Roman" w:eastAsia="宋体" w:cs="Times New Roman"/>
          <w:spacing w:val="1"/>
          <w:position w:val="17"/>
          <w:sz w:val="24"/>
          <w:szCs w:val="24"/>
          <w:lang w:val="en-US" w:eastAsia="zh-CN"/>
        </w:rPr>
        <w:t>。</w:t>
      </w:r>
    </w:p>
    <w:p w14:paraId="665C377D">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default" w:ascii="Times New Roman" w:hAnsi="Times New Roman" w:eastAsia="宋体" w:cs="Times New Roman"/>
          <w:spacing w:val="1"/>
          <w:position w:val="17"/>
          <w:sz w:val="24"/>
          <w:szCs w:val="24"/>
          <w:highlight w:val="none"/>
          <w:lang w:val="en-US" w:eastAsia="zh-CN"/>
        </w:rPr>
      </w:pPr>
      <w:r>
        <w:rPr>
          <w:rFonts w:hint="eastAsia" w:ascii="Times New Roman" w:hAnsi="Times New Roman" w:eastAsia="宋体" w:cs="Times New Roman"/>
          <w:spacing w:val="1"/>
          <w:position w:val="17"/>
          <w:sz w:val="24"/>
          <w:szCs w:val="24"/>
          <w:highlight w:val="none"/>
          <w:lang w:val="en-US" w:eastAsia="zh-CN"/>
        </w:rPr>
        <w:t>3.3.3 量化范围</w:t>
      </w:r>
    </w:p>
    <w:p w14:paraId="32492470">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default" w:ascii="Times New Roman" w:hAnsi="Times New Roman" w:eastAsia="宋体" w:cs="Times New Roman"/>
          <w:spacing w:val="1"/>
          <w:position w:val="17"/>
          <w:sz w:val="24"/>
          <w:szCs w:val="24"/>
          <w:highlight w:val="none"/>
          <w:lang w:val="en-US" w:eastAsia="zh-CN"/>
        </w:rPr>
      </w:pPr>
      <w:r>
        <w:rPr>
          <w:rFonts w:hint="eastAsia" w:ascii="Times New Roman" w:hAnsi="Times New Roman" w:eastAsia="宋体" w:cs="Times New Roman"/>
          <w:snapToGrid w:val="0"/>
          <w:color w:val="000000"/>
          <w:spacing w:val="1"/>
          <w:kern w:val="0"/>
          <w:position w:val="17"/>
          <w:sz w:val="24"/>
          <w:szCs w:val="24"/>
          <w:highlight w:val="none"/>
          <w:lang w:val="en-US" w:eastAsia="zh-CN"/>
        </w:rPr>
        <w:t>3.3.3.1 声明单位</w:t>
      </w:r>
    </w:p>
    <w:p w14:paraId="40166E2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 xml:space="preserve">——生产 </w:t>
      </w:r>
      <w:r>
        <w:rPr>
          <w:rFonts w:hint="default" w:ascii="Times New Roman" w:hAnsi="Times New Roman" w:eastAsia="宋体" w:cs="Times New Roman"/>
          <w:spacing w:val="1"/>
          <w:position w:val="17"/>
          <w:sz w:val="24"/>
          <w:szCs w:val="24"/>
          <w:lang w:val="en-US" w:eastAsia="zh-CN"/>
        </w:rPr>
        <w:t xml:space="preserve">1 </w:t>
      </w:r>
      <w:r>
        <w:rPr>
          <w:rFonts w:hint="eastAsia" w:ascii="Times New Roman" w:hAnsi="Times New Roman" w:eastAsia="宋体" w:cs="Times New Roman"/>
          <w:spacing w:val="1"/>
          <w:position w:val="17"/>
          <w:sz w:val="24"/>
          <w:szCs w:val="24"/>
          <w:lang w:val="en-US" w:eastAsia="zh-CN"/>
        </w:rPr>
        <w:t>只截止阀</w:t>
      </w:r>
      <w:r>
        <w:rPr>
          <w:rFonts w:hint="default" w:ascii="Times New Roman" w:hAnsi="Times New Roman" w:eastAsia="宋体" w:cs="Times New Roman"/>
          <w:spacing w:val="1"/>
          <w:position w:val="17"/>
          <w:sz w:val="24"/>
          <w:szCs w:val="24"/>
          <w:lang w:val="en-US" w:eastAsia="zh-CN"/>
        </w:rPr>
        <w:t>产品</w:t>
      </w:r>
      <w:r>
        <w:rPr>
          <w:rFonts w:hint="eastAsia" w:ascii="Times New Roman" w:hAnsi="Times New Roman" w:eastAsia="宋体" w:cs="Times New Roman"/>
          <w:spacing w:val="1"/>
          <w:position w:val="17"/>
          <w:sz w:val="24"/>
          <w:szCs w:val="24"/>
          <w:lang w:val="en-US" w:eastAsia="zh-CN"/>
        </w:rPr>
        <w:t>；</w:t>
      </w:r>
    </w:p>
    <w:p w14:paraId="517C6B1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w:t>
      </w:r>
      <w:r>
        <w:rPr>
          <w:rFonts w:hint="eastAsia" w:ascii="Times New Roman" w:hAnsi="Times New Roman" w:eastAsia="宋体" w:cs="Times New Roman"/>
          <w:snapToGrid w:val="0"/>
          <w:color w:val="000000"/>
          <w:spacing w:val="1"/>
          <w:kern w:val="0"/>
          <w:position w:val="17"/>
          <w:sz w:val="24"/>
          <w:szCs w:val="24"/>
          <w:lang w:val="en-US" w:eastAsia="zh-CN"/>
        </w:rPr>
        <w:t>主要性能指标或规格参数：截止</w:t>
      </w:r>
      <w:r>
        <w:rPr>
          <w:rFonts w:hint="default" w:ascii="Times New Roman" w:hAnsi="Times New Roman" w:eastAsia="宋体" w:cs="Times New Roman"/>
          <w:snapToGrid w:val="0"/>
          <w:color w:val="000000"/>
          <w:spacing w:val="1"/>
          <w:kern w:val="0"/>
          <w:position w:val="17"/>
          <w:sz w:val="24"/>
          <w:szCs w:val="24"/>
          <w:lang w:val="en-US" w:eastAsia="zh-CN"/>
        </w:rPr>
        <w:t>阀（DN15</w:t>
      </w:r>
      <w:r>
        <w:rPr>
          <w:rFonts w:hint="eastAsia" w:ascii="Times New Roman" w:hAnsi="Times New Roman" w:eastAsia="宋体" w:cs="Times New Roman"/>
          <w:snapToGrid w:val="0"/>
          <w:color w:val="000000"/>
          <w:spacing w:val="1"/>
          <w:kern w:val="0"/>
          <w:position w:val="17"/>
          <w:sz w:val="24"/>
          <w:szCs w:val="24"/>
          <w:lang w:val="en-US" w:eastAsia="zh-CN"/>
        </w:rPr>
        <w:t>～</w:t>
      </w:r>
      <w:r>
        <w:rPr>
          <w:rFonts w:hint="default" w:ascii="Times New Roman" w:hAnsi="Times New Roman" w:eastAsia="宋体" w:cs="Times New Roman"/>
          <w:snapToGrid w:val="0"/>
          <w:color w:val="000000"/>
          <w:spacing w:val="1"/>
          <w:kern w:val="0"/>
          <w:position w:val="17"/>
          <w:sz w:val="24"/>
          <w:szCs w:val="24"/>
          <w:lang w:val="en-US" w:eastAsia="zh-CN"/>
        </w:rPr>
        <w:t>DN50</w:t>
      </w:r>
      <w:r>
        <w:rPr>
          <w:rFonts w:hint="eastAsia" w:ascii="Times New Roman" w:hAnsi="Times New Roman" w:eastAsia="宋体" w:cs="Times New Roman"/>
          <w:snapToGrid w:val="0"/>
          <w:color w:val="000000"/>
          <w:spacing w:val="1"/>
          <w:kern w:val="0"/>
          <w:position w:val="17"/>
          <w:sz w:val="24"/>
          <w:szCs w:val="24"/>
          <w:lang w:val="en-US" w:eastAsia="zh-CN"/>
        </w:rPr>
        <w:t>）</w:t>
      </w:r>
      <w:r>
        <w:rPr>
          <w:rFonts w:hint="default" w:ascii="Times New Roman" w:hAnsi="Times New Roman" w:eastAsia="宋体" w:cs="Times New Roman"/>
          <w:spacing w:val="1"/>
          <w:position w:val="17"/>
          <w:sz w:val="24"/>
          <w:szCs w:val="24"/>
          <w:lang w:val="en-US" w:eastAsia="zh-CN"/>
        </w:rPr>
        <w:t>。</w:t>
      </w:r>
    </w:p>
    <w:p w14:paraId="666BACBD">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default"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 xml:space="preserve">3.3.3.2 </w:t>
      </w:r>
      <w:r>
        <w:rPr>
          <w:rFonts w:hint="default" w:ascii="Times New Roman" w:hAnsi="Times New Roman" w:eastAsia="宋体" w:cs="Times New Roman"/>
          <w:spacing w:val="1"/>
          <w:position w:val="17"/>
          <w:sz w:val="24"/>
          <w:szCs w:val="24"/>
          <w:lang w:val="en-US" w:eastAsia="zh-CN"/>
        </w:rPr>
        <w:t>系统边界</w:t>
      </w:r>
    </w:p>
    <w:p w14:paraId="2397817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界定系统边界为</w:t>
      </w:r>
      <w:r>
        <w:rPr>
          <w:rFonts w:hint="eastAsia" w:ascii="Times New Roman" w:hAnsi="Times New Roman" w:eastAsia="宋体" w:cs="Times New Roman"/>
          <w:spacing w:val="1"/>
          <w:position w:val="17"/>
          <w:sz w:val="24"/>
          <w:szCs w:val="24"/>
          <w:lang w:val="en-US" w:eastAsia="zh-CN"/>
        </w:rPr>
        <w:t>“</w:t>
      </w:r>
      <w:r>
        <w:rPr>
          <w:rFonts w:hint="default" w:ascii="Times New Roman" w:hAnsi="Times New Roman" w:eastAsia="宋体" w:cs="Times New Roman"/>
          <w:spacing w:val="1"/>
          <w:position w:val="17"/>
          <w:sz w:val="24"/>
          <w:szCs w:val="24"/>
          <w:lang w:val="en-US" w:eastAsia="zh-CN"/>
        </w:rPr>
        <w:t>从摇篮到大门</w:t>
      </w:r>
      <w:r>
        <w:rPr>
          <w:rFonts w:hint="eastAsia" w:ascii="Times New Roman" w:hAnsi="Times New Roman" w:eastAsia="宋体" w:cs="Times New Roman"/>
          <w:spacing w:val="1"/>
          <w:position w:val="17"/>
          <w:sz w:val="24"/>
          <w:szCs w:val="24"/>
          <w:lang w:val="en-US" w:eastAsia="zh-CN"/>
        </w:rPr>
        <w:t>”</w:t>
      </w:r>
      <w:r>
        <w:rPr>
          <w:rFonts w:hint="default" w:ascii="Times New Roman" w:hAnsi="Times New Roman" w:eastAsia="宋体" w:cs="Times New Roman"/>
          <w:spacing w:val="1"/>
          <w:position w:val="17"/>
          <w:sz w:val="24"/>
          <w:szCs w:val="24"/>
          <w:lang w:val="en-US" w:eastAsia="zh-CN"/>
        </w:rPr>
        <w:t>的生命周期过程（见图</w:t>
      </w:r>
      <w:r>
        <w:rPr>
          <w:rFonts w:hint="eastAsia" w:ascii="Times New Roman" w:hAnsi="Times New Roman" w:eastAsia="宋体" w:cs="Times New Roman"/>
          <w:spacing w:val="1"/>
          <w:position w:val="17"/>
          <w:sz w:val="24"/>
          <w:szCs w:val="24"/>
          <w:lang w:val="en-US" w:eastAsia="zh-CN"/>
        </w:rPr>
        <w:t>8</w:t>
      </w:r>
      <w:r>
        <w:rPr>
          <w:rFonts w:hint="default" w:ascii="Times New Roman" w:hAnsi="Times New Roman" w:eastAsia="宋体" w:cs="Times New Roman"/>
          <w:spacing w:val="1"/>
          <w:position w:val="17"/>
          <w:sz w:val="24"/>
          <w:szCs w:val="24"/>
          <w:lang w:val="en-US" w:eastAsia="zh-CN"/>
        </w:rPr>
        <w:t>），从原料与能源获取、运输、产品生产到产品出厂为止，不包括产品的使用和废弃阶段。</w:t>
      </w:r>
    </w:p>
    <w:tbl>
      <w:tblPr>
        <w:tblStyle w:val="14"/>
        <w:tblW w:w="4221"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44"/>
        <w:gridCol w:w="1444"/>
        <w:gridCol w:w="1444"/>
        <w:gridCol w:w="1444"/>
        <w:gridCol w:w="1444"/>
      </w:tblGrid>
      <w:tr w14:paraId="399C6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4" w:hRule="atLeast"/>
          <w:jc w:val="center"/>
        </w:trPr>
        <w:tc>
          <w:tcPr>
            <w:tcW w:w="3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A723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rPr>
            </w:pPr>
            <w:r>
              <w:rPr>
                <w:rFonts w:hint="default" w:ascii="Times New Roman" w:hAnsi="Times New Roman" w:eastAsia="宋体" w:cs="Times New Roman"/>
                <w:i w:val="0"/>
                <w:iCs w:val="0"/>
                <w:color w:val="000000"/>
                <w:kern w:val="0"/>
                <w:sz w:val="21"/>
                <w:szCs w:val="21"/>
                <w:highlight w:val="none"/>
                <w:u w:val="none"/>
                <w:lang w:val="en-US" w:eastAsia="zh-CN" w:bidi="ar"/>
              </w:rPr>
              <w:t>A1-A3</w:t>
            </w:r>
          </w:p>
        </w:tc>
        <w:tc>
          <w:tcPr>
            <w:tcW w:w="20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3D89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lang w:val="en-US"/>
              </w:rPr>
            </w:pPr>
            <w:r>
              <w:rPr>
                <w:rFonts w:hint="default" w:ascii="Times New Roman" w:hAnsi="Times New Roman" w:eastAsia="宋体" w:cs="Times New Roman"/>
                <w:i w:val="0"/>
                <w:iCs w:val="0"/>
                <w:color w:val="000000"/>
                <w:kern w:val="0"/>
                <w:sz w:val="21"/>
                <w:szCs w:val="21"/>
                <w:highlight w:val="none"/>
                <w:u w:val="none"/>
                <w:lang w:val="en-US" w:eastAsia="zh-CN" w:bidi="ar"/>
              </w:rPr>
              <w:t>B1-B2</w:t>
            </w:r>
          </w:p>
        </w:tc>
      </w:tr>
      <w:tr w14:paraId="3A136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3" w:hRule="atLeast"/>
          <w:jc w:val="center"/>
        </w:trPr>
        <w:tc>
          <w:tcPr>
            <w:tcW w:w="3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8A27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rPr>
            </w:pPr>
            <w:r>
              <w:rPr>
                <w:rFonts w:hint="default" w:ascii="Times New Roman" w:hAnsi="Times New Roman" w:eastAsia="宋体" w:cs="Times New Roman"/>
                <w:i w:val="0"/>
                <w:iCs w:val="0"/>
                <w:color w:val="000000"/>
                <w:kern w:val="0"/>
                <w:sz w:val="21"/>
                <w:szCs w:val="21"/>
                <w:highlight w:val="none"/>
                <w:u w:val="none"/>
                <w:lang w:val="en-US" w:eastAsia="zh-CN" w:bidi="ar"/>
              </w:rPr>
              <w:t>原料与能源获取阶段</w:t>
            </w:r>
          </w:p>
        </w:tc>
        <w:tc>
          <w:tcPr>
            <w:tcW w:w="20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9E8A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rPr>
            </w:pPr>
            <w:r>
              <w:rPr>
                <w:rFonts w:hint="default" w:ascii="Times New Roman" w:hAnsi="Times New Roman" w:eastAsia="宋体" w:cs="Times New Roman"/>
                <w:i w:val="0"/>
                <w:iCs w:val="0"/>
                <w:color w:val="000000"/>
                <w:kern w:val="0"/>
                <w:sz w:val="21"/>
                <w:szCs w:val="21"/>
                <w:highlight w:val="none"/>
                <w:u w:val="none"/>
                <w:lang w:val="en-US" w:eastAsia="zh-CN" w:bidi="ar"/>
              </w:rPr>
              <w:t>产品生产阶段</w:t>
            </w:r>
          </w:p>
        </w:tc>
      </w:tr>
      <w:tr w14:paraId="372F0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4" w:hRule="atLeast"/>
          <w:jc w:val="center"/>
        </w:trPr>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9642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rPr>
            </w:pPr>
            <w:r>
              <w:rPr>
                <w:rFonts w:hint="default" w:ascii="Times New Roman" w:hAnsi="Times New Roman" w:eastAsia="宋体" w:cs="Times New Roman"/>
                <w:i w:val="0"/>
                <w:iCs w:val="0"/>
                <w:color w:val="000000"/>
                <w:kern w:val="0"/>
                <w:sz w:val="21"/>
                <w:szCs w:val="21"/>
                <w:highlight w:val="none"/>
                <w:u w:val="none"/>
                <w:lang w:val="en-US" w:eastAsia="zh-CN" w:bidi="ar"/>
              </w:rPr>
              <w:t>A1</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B604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rPr>
            </w:pPr>
            <w:r>
              <w:rPr>
                <w:rFonts w:hint="default" w:ascii="Times New Roman" w:hAnsi="Times New Roman" w:eastAsia="宋体" w:cs="Times New Roman"/>
                <w:i w:val="0"/>
                <w:iCs w:val="0"/>
                <w:color w:val="000000"/>
                <w:kern w:val="0"/>
                <w:sz w:val="21"/>
                <w:szCs w:val="21"/>
                <w:highlight w:val="none"/>
                <w:u w:val="none"/>
                <w:lang w:val="en-US" w:eastAsia="zh-CN" w:bidi="ar"/>
              </w:rPr>
              <w:t>A2</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35EF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rPr>
            </w:pPr>
            <w:r>
              <w:rPr>
                <w:rFonts w:hint="default" w:ascii="Times New Roman" w:hAnsi="Times New Roman" w:eastAsia="宋体" w:cs="Times New Roman"/>
                <w:i w:val="0"/>
                <w:iCs w:val="0"/>
                <w:color w:val="000000"/>
                <w:kern w:val="0"/>
                <w:sz w:val="21"/>
                <w:szCs w:val="21"/>
                <w:highlight w:val="none"/>
                <w:u w:val="none"/>
                <w:lang w:val="en-US" w:eastAsia="zh-CN" w:bidi="ar"/>
              </w:rPr>
              <w:t>A3</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ACF1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lang w:val="en-US" w:eastAsia="zh-CN"/>
              </w:rPr>
            </w:pPr>
            <w:r>
              <w:rPr>
                <w:rFonts w:hint="default" w:ascii="Times New Roman" w:hAnsi="Times New Roman" w:eastAsia="宋体" w:cs="Times New Roman"/>
                <w:i w:val="0"/>
                <w:iCs w:val="0"/>
                <w:color w:val="000000"/>
                <w:sz w:val="21"/>
                <w:szCs w:val="21"/>
                <w:highlight w:val="none"/>
                <w:u w:val="none"/>
                <w:lang w:val="en-US" w:eastAsia="zh-CN"/>
              </w:rPr>
              <w:t>B1</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7BB8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lang w:val="en-US" w:eastAsia="zh-CN"/>
              </w:rPr>
            </w:pPr>
            <w:r>
              <w:rPr>
                <w:rFonts w:hint="default" w:ascii="Times New Roman" w:hAnsi="Times New Roman" w:eastAsia="宋体" w:cs="Times New Roman"/>
                <w:i w:val="0"/>
                <w:iCs w:val="0"/>
                <w:color w:val="000000"/>
                <w:sz w:val="21"/>
                <w:szCs w:val="21"/>
                <w:highlight w:val="none"/>
                <w:u w:val="none"/>
                <w:lang w:val="en-US" w:eastAsia="zh-CN"/>
              </w:rPr>
              <w:t>B2</w:t>
            </w:r>
          </w:p>
        </w:tc>
      </w:tr>
      <w:tr w14:paraId="41477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4" w:hRule="atLeast"/>
          <w:jc w:val="center"/>
        </w:trPr>
        <w:tc>
          <w:tcPr>
            <w:tcW w:w="1000" w:type="pct"/>
            <w:tcBorders>
              <w:top w:val="single" w:color="000000" w:sz="4" w:space="0"/>
              <w:left w:val="single" w:color="auto" w:sz="4" w:space="0"/>
              <w:bottom w:val="single" w:color="000000" w:sz="4" w:space="0"/>
              <w:right w:val="single" w:color="000000" w:sz="4" w:space="0"/>
            </w:tcBorders>
            <w:shd w:val="clear" w:color="auto" w:fill="auto"/>
            <w:vAlign w:val="center"/>
          </w:tcPr>
          <w:p w14:paraId="6918006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rPr>
            </w:pPr>
            <w:r>
              <w:rPr>
                <w:rFonts w:hint="default" w:ascii="Times New Roman" w:hAnsi="Times New Roman" w:eastAsia="宋体" w:cs="Times New Roman"/>
                <w:i w:val="0"/>
                <w:iCs w:val="0"/>
                <w:color w:val="000000"/>
                <w:kern w:val="0"/>
                <w:sz w:val="21"/>
                <w:szCs w:val="21"/>
                <w:highlight w:val="none"/>
                <w:u w:val="none"/>
                <w:lang w:val="en-US" w:eastAsia="zh-CN" w:bidi="ar"/>
              </w:rPr>
              <w:t>原料获取</w:t>
            </w: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0C54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lang w:val="en-US" w:eastAsia="zh-CN"/>
              </w:rPr>
            </w:pPr>
            <w:r>
              <w:rPr>
                <w:rFonts w:hint="default" w:ascii="Times New Roman" w:hAnsi="Times New Roman" w:eastAsia="宋体" w:cs="Times New Roman"/>
                <w:i w:val="0"/>
                <w:iCs w:val="0"/>
                <w:color w:val="000000"/>
                <w:sz w:val="21"/>
                <w:szCs w:val="21"/>
                <w:highlight w:val="none"/>
                <w:u w:val="none"/>
                <w:lang w:val="en-US" w:eastAsia="zh-CN"/>
              </w:rPr>
              <w:t>能源获取</w:t>
            </w: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F92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1"/>
                <w:szCs w:val="21"/>
                <w:highlight w:val="none"/>
                <w:u w:val="none"/>
                <w:lang w:val="en-US" w:eastAsia="zh-CN"/>
              </w:rPr>
            </w:pPr>
            <w:r>
              <w:rPr>
                <w:rFonts w:hint="default" w:ascii="Times New Roman" w:hAnsi="Times New Roman" w:cs="Times New Roman"/>
                <w:b w:val="0"/>
                <w:bCs w:val="0"/>
                <w:i w:val="0"/>
                <w:iCs w:val="0"/>
                <w:color w:val="000000"/>
                <w:sz w:val="21"/>
                <w:szCs w:val="21"/>
                <w:highlight w:val="none"/>
                <w:u w:val="none"/>
                <w:lang w:val="en-US" w:eastAsia="zh-CN"/>
              </w:rPr>
              <w:t>原燃料运输</w:t>
            </w: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A27F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lang w:val="en-US"/>
              </w:rPr>
            </w:pPr>
            <w:r>
              <w:rPr>
                <w:rFonts w:hint="default" w:ascii="Times New Roman" w:hAnsi="Times New Roman" w:cs="Times New Roman"/>
                <w:i w:val="0"/>
                <w:iCs w:val="0"/>
                <w:color w:val="000000"/>
                <w:kern w:val="0"/>
                <w:sz w:val="21"/>
                <w:szCs w:val="21"/>
                <w:highlight w:val="none"/>
                <w:u w:val="none"/>
                <w:lang w:val="en-US" w:eastAsia="zh-CN" w:bidi="ar"/>
              </w:rPr>
              <w:t>产品制造</w:t>
            </w: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5B39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highlight w:val="none"/>
                <w:u w:val="none"/>
                <w:lang w:val="en-US"/>
              </w:rPr>
            </w:pPr>
            <w:r>
              <w:rPr>
                <w:rFonts w:hint="default" w:ascii="Times New Roman" w:hAnsi="Times New Roman" w:cs="Times New Roman"/>
                <w:i w:val="0"/>
                <w:iCs w:val="0"/>
                <w:color w:val="000000"/>
                <w:kern w:val="0"/>
                <w:sz w:val="21"/>
                <w:szCs w:val="21"/>
                <w:highlight w:val="none"/>
                <w:u w:val="none"/>
                <w:lang w:val="en-US" w:eastAsia="zh-CN" w:bidi="ar"/>
              </w:rPr>
              <w:t>厂内运输</w:t>
            </w:r>
          </w:p>
        </w:tc>
      </w:tr>
    </w:tbl>
    <w:p w14:paraId="4E2B5595">
      <w:pPr>
        <w:pStyle w:val="8"/>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Times New Roman" w:hAnsi="Times New Roman" w:cs="Times New Roman"/>
          <w:highlight w:val="none"/>
        </w:rPr>
      </w:pPr>
      <w:r>
        <w:rPr>
          <w:rFonts w:hint="default" w:ascii="Times New Roman" w:hAnsi="Times New Roman" w:cs="Times New Roman"/>
          <w:highlight w:val="none"/>
        </w:rPr>
        <w:t xml:space="preserve">图 </w:t>
      </w:r>
      <w:r>
        <w:rPr>
          <w:rFonts w:hint="eastAsia" w:ascii="Times New Roman" w:hAnsi="Times New Roman" w:cs="Times New Roman"/>
          <w:highlight w:val="none"/>
          <w:lang w:val="en-US" w:eastAsia="zh-CN"/>
        </w:rPr>
        <w:t>8：</w:t>
      </w:r>
      <w:r>
        <w:rPr>
          <w:rFonts w:hint="eastAsia" w:ascii="Times New Roman" w:hAnsi="Times New Roman" w:cs="Times New Roman"/>
          <w:sz w:val="20"/>
          <w:szCs w:val="20"/>
          <w:highlight w:val="none"/>
          <w:lang w:eastAsia="zh-CN"/>
        </w:rPr>
        <w:t>阀门</w:t>
      </w:r>
      <w:r>
        <w:rPr>
          <w:rFonts w:hint="default" w:ascii="Times New Roman" w:hAnsi="Times New Roman" w:cs="Times New Roman"/>
          <w:sz w:val="20"/>
          <w:szCs w:val="20"/>
          <w:highlight w:val="none"/>
        </w:rPr>
        <w:t>碳足迹评价的系统边界图</w:t>
      </w:r>
    </w:p>
    <w:p w14:paraId="7A2D58B2">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3.3.3.3 取舍准则</w:t>
      </w:r>
    </w:p>
    <w:p w14:paraId="17A4632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忽略的单项物质流或单元过程对环境影响的贡献均不得超过 1%</w:t>
      </w:r>
      <w:r>
        <w:rPr>
          <w:rFonts w:hint="eastAsia" w:ascii="Times New Roman" w:hAnsi="Times New Roman" w:eastAsia="宋体" w:cs="Times New Roman"/>
          <w:spacing w:val="1"/>
          <w:position w:val="17"/>
          <w:sz w:val="24"/>
          <w:szCs w:val="24"/>
          <w:lang w:val="en-US" w:eastAsia="zh-CN"/>
        </w:rPr>
        <w:t xml:space="preserve">，且对环境 影响贡献总和不超过 </w:t>
      </w:r>
      <w:r>
        <w:rPr>
          <w:rFonts w:hint="default" w:ascii="Times New Roman" w:hAnsi="Times New Roman" w:eastAsia="宋体" w:cs="Times New Roman"/>
          <w:spacing w:val="1"/>
          <w:position w:val="17"/>
          <w:sz w:val="24"/>
          <w:szCs w:val="24"/>
          <w:lang w:val="en-US" w:eastAsia="zh-CN"/>
        </w:rPr>
        <w:t>5%</w:t>
      </w:r>
      <w:r>
        <w:rPr>
          <w:rFonts w:hint="eastAsia" w:ascii="Times New Roman" w:hAnsi="Times New Roman" w:eastAsia="宋体" w:cs="Times New Roman"/>
          <w:spacing w:val="1"/>
          <w:position w:val="17"/>
          <w:sz w:val="24"/>
          <w:szCs w:val="24"/>
          <w:lang w:val="en-US" w:eastAsia="zh-CN"/>
        </w:rPr>
        <w:t>。</w:t>
      </w:r>
    </w:p>
    <w:p w14:paraId="7DF5D04F">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3.3.3.4 时间范围</w:t>
      </w:r>
    </w:p>
    <w:p w14:paraId="04EDF68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统计周期为</w:t>
      </w:r>
      <w:r>
        <w:rPr>
          <w:rFonts w:hint="eastAsia" w:ascii="Times New Roman" w:hAnsi="Times New Roman" w:eastAsia="宋体" w:cs="Times New Roman"/>
          <w:spacing w:val="1"/>
          <w:position w:val="17"/>
          <w:sz w:val="24"/>
          <w:szCs w:val="24"/>
          <w:lang w:val="en-US" w:eastAsia="zh-CN"/>
        </w:rPr>
        <w:t>2023年1月至2023年12月</w:t>
      </w:r>
      <w:r>
        <w:rPr>
          <w:rFonts w:hint="default" w:ascii="Times New Roman" w:hAnsi="Times New Roman" w:eastAsia="宋体" w:cs="Times New Roman"/>
          <w:spacing w:val="1"/>
          <w:position w:val="17"/>
          <w:sz w:val="24"/>
          <w:szCs w:val="24"/>
          <w:lang w:val="en-US" w:eastAsia="zh-CN"/>
        </w:rPr>
        <w:t>，连续</w:t>
      </w:r>
      <w:r>
        <w:rPr>
          <w:rFonts w:hint="eastAsia" w:ascii="Times New Roman" w:hAnsi="Times New Roman" w:eastAsia="宋体" w:cs="Times New Roman"/>
          <w:spacing w:val="1"/>
          <w:position w:val="17"/>
          <w:sz w:val="24"/>
          <w:szCs w:val="24"/>
          <w:lang w:val="en-US" w:eastAsia="zh-CN"/>
        </w:rPr>
        <w:t>12</w:t>
      </w:r>
      <w:r>
        <w:rPr>
          <w:rFonts w:hint="default" w:ascii="Times New Roman" w:hAnsi="Times New Roman" w:eastAsia="宋体" w:cs="Times New Roman"/>
          <w:spacing w:val="1"/>
          <w:position w:val="17"/>
          <w:sz w:val="24"/>
          <w:szCs w:val="24"/>
          <w:lang w:val="en-US" w:eastAsia="zh-CN"/>
        </w:rPr>
        <w:t>个月。</w:t>
      </w:r>
    </w:p>
    <w:p w14:paraId="625E176E">
      <w:pPr>
        <w:keepNext w:val="0"/>
        <w:keepLines w:val="0"/>
        <w:pageBreakBefore w:val="0"/>
        <w:widowControl/>
        <w:kinsoku w:val="0"/>
        <w:wordWrap/>
        <w:overflowPunct/>
        <w:topLinePunct w:val="0"/>
        <w:autoSpaceDE w:val="0"/>
        <w:autoSpaceDN w:val="0"/>
        <w:bidi w:val="0"/>
        <w:adjustRightInd w:val="0"/>
        <w:snapToGrid w:val="0"/>
        <w:spacing w:before="6" w:after="0" w:afterLines="30" w:line="360" w:lineRule="auto"/>
        <w:ind w:left="0"/>
        <w:jc w:val="both"/>
        <w:textAlignment w:val="baseline"/>
        <w:outlineLvl w:val="2"/>
        <w:rPr>
          <w:rFonts w:hint="default" w:ascii="Times New Roman" w:hAnsi="Times New Roman" w:eastAsia="Times New Roman" w:cs="Times New Roman"/>
          <w:b w:val="0"/>
          <w:bCs w:val="0"/>
          <w:spacing w:val="-1"/>
          <w:sz w:val="24"/>
          <w:szCs w:val="24"/>
          <w:lang w:val="en-US" w:eastAsia="zh-CN"/>
        </w:rPr>
      </w:pPr>
      <w:r>
        <w:rPr>
          <w:rFonts w:hint="eastAsia" w:ascii="Times New Roman" w:hAnsi="Times New Roman" w:eastAsia="Times New Roman" w:cs="Times New Roman"/>
          <w:b w:val="0"/>
          <w:bCs w:val="0"/>
          <w:spacing w:val="-1"/>
          <w:sz w:val="24"/>
          <w:szCs w:val="24"/>
          <w:lang w:val="en-US" w:eastAsia="zh-CN"/>
        </w:rPr>
        <w:t xml:space="preserve">3.3.4 </w:t>
      </w:r>
      <w:r>
        <w:rPr>
          <w:rFonts w:hint="default" w:ascii="Times New Roman" w:hAnsi="Times New Roman" w:eastAsia="Times New Roman" w:cs="Times New Roman"/>
          <w:b w:val="0"/>
          <w:bCs w:val="0"/>
          <w:spacing w:val="-1"/>
          <w:sz w:val="24"/>
          <w:szCs w:val="24"/>
          <w:lang w:val="en-US" w:eastAsia="zh-CN"/>
        </w:rPr>
        <w:t>清单分析</w:t>
      </w:r>
    </w:p>
    <w:p w14:paraId="799DB29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lang w:val="en-US" w:eastAsia="zh-CN"/>
        </w:rPr>
      </w:pPr>
      <w:r>
        <w:rPr>
          <w:rFonts w:hint="default" w:ascii="Times New Roman" w:hAnsi="Times New Roman" w:eastAsia="宋体" w:cs="Times New Roman"/>
          <w:spacing w:val="1"/>
          <w:position w:val="17"/>
          <w:sz w:val="24"/>
          <w:szCs w:val="24"/>
          <w:lang w:val="en-US" w:eastAsia="zh-CN"/>
        </w:rPr>
        <w:t>企业现场数据包括</w:t>
      </w:r>
      <w:r>
        <w:rPr>
          <w:rFonts w:hint="eastAsia" w:ascii="Times New Roman" w:hAnsi="Times New Roman" w:eastAsia="宋体" w:cs="Times New Roman"/>
          <w:spacing w:val="1"/>
          <w:position w:val="17"/>
          <w:sz w:val="24"/>
          <w:szCs w:val="24"/>
          <w:lang w:val="en-US" w:eastAsia="zh-CN"/>
        </w:rPr>
        <w:t>阀门</w:t>
      </w:r>
      <w:r>
        <w:rPr>
          <w:rFonts w:hint="default" w:ascii="Times New Roman" w:hAnsi="Times New Roman" w:eastAsia="宋体" w:cs="Times New Roman"/>
          <w:spacing w:val="1"/>
          <w:position w:val="17"/>
          <w:sz w:val="24"/>
          <w:szCs w:val="24"/>
          <w:lang w:val="en-US" w:eastAsia="zh-CN"/>
        </w:rPr>
        <w:t>产品生产阶段的原材料消耗、能源消耗、直接温室气体排放以及运输数据（运输方式、距离、运输量）等，现场数据采集来源于生产相关数据，数据统计时间周期为202</w:t>
      </w:r>
      <w:r>
        <w:rPr>
          <w:rFonts w:hint="eastAsia" w:ascii="Times New Roman" w:hAnsi="Times New Roman" w:eastAsia="宋体" w:cs="Times New Roman"/>
          <w:spacing w:val="1"/>
          <w:position w:val="17"/>
          <w:sz w:val="24"/>
          <w:szCs w:val="24"/>
          <w:lang w:val="en-US" w:eastAsia="zh-CN"/>
        </w:rPr>
        <w:t>3</w:t>
      </w:r>
      <w:r>
        <w:rPr>
          <w:rFonts w:hint="default" w:ascii="Times New Roman" w:hAnsi="Times New Roman" w:eastAsia="宋体" w:cs="Times New Roman"/>
          <w:spacing w:val="1"/>
          <w:position w:val="17"/>
          <w:sz w:val="24"/>
          <w:szCs w:val="24"/>
          <w:lang w:val="en-US" w:eastAsia="zh-CN"/>
        </w:rPr>
        <w:t>年0</w:t>
      </w:r>
      <w:r>
        <w:rPr>
          <w:rFonts w:hint="eastAsia" w:ascii="Times New Roman" w:hAnsi="Times New Roman" w:eastAsia="宋体" w:cs="Times New Roman"/>
          <w:spacing w:val="1"/>
          <w:position w:val="17"/>
          <w:sz w:val="24"/>
          <w:szCs w:val="24"/>
          <w:lang w:val="en-US" w:eastAsia="zh-CN"/>
        </w:rPr>
        <w:t>1</w:t>
      </w:r>
      <w:r>
        <w:rPr>
          <w:rFonts w:hint="default" w:ascii="Times New Roman" w:hAnsi="Times New Roman" w:eastAsia="宋体" w:cs="Times New Roman"/>
          <w:spacing w:val="1"/>
          <w:position w:val="17"/>
          <w:sz w:val="24"/>
          <w:szCs w:val="24"/>
          <w:lang w:val="en-US" w:eastAsia="zh-CN"/>
        </w:rPr>
        <w:t>月至202</w:t>
      </w:r>
      <w:r>
        <w:rPr>
          <w:rFonts w:hint="eastAsia" w:ascii="Times New Roman" w:hAnsi="Times New Roman" w:eastAsia="宋体" w:cs="Times New Roman"/>
          <w:spacing w:val="1"/>
          <w:position w:val="17"/>
          <w:sz w:val="24"/>
          <w:szCs w:val="24"/>
          <w:lang w:val="en-US" w:eastAsia="zh-CN"/>
        </w:rPr>
        <w:t>3</w:t>
      </w:r>
      <w:r>
        <w:rPr>
          <w:rFonts w:hint="default" w:ascii="Times New Roman" w:hAnsi="Times New Roman" w:eastAsia="宋体" w:cs="Times New Roman"/>
          <w:spacing w:val="1"/>
          <w:position w:val="17"/>
          <w:sz w:val="24"/>
          <w:szCs w:val="24"/>
          <w:lang w:val="en-US" w:eastAsia="zh-CN"/>
        </w:rPr>
        <w:t>年</w:t>
      </w:r>
      <w:r>
        <w:rPr>
          <w:rFonts w:hint="eastAsia" w:ascii="Times New Roman" w:hAnsi="Times New Roman" w:eastAsia="宋体" w:cs="Times New Roman"/>
          <w:spacing w:val="1"/>
          <w:position w:val="17"/>
          <w:sz w:val="24"/>
          <w:szCs w:val="24"/>
          <w:lang w:val="en-US" w:eastAsia="zh-CN"/>
        </w:rPr>
        <w:t>12</w:t>
      </w:r>
      <w:r>
        <w:rPr>
          <w:rFonts w:hint="default" w:ascii="Times New Roman" w:hAnsi="Times New Roman" w:eastAsia="宋体" w:cs="Times New Roman"/>
          <w:spacing w:val="1"/>
          <w:position w:val="17"/>
          <w:sz w:val="24"/>
          <w:szCs w:val="24"/>
          <w:lang w:val="en-US" w:eastAsia="zh-CN"/>
        </w:rPr>
        <w:t>月（共1个自然年），数据真实有效。其中，产品产量、原材料消耗与能源消耗数据取自《原辅材料使用统计表》；原材料的运输距离根据产地估算得到（同种原料来自多个不同产地根据质量加权平均计算运输距离）；直接温室气体排放方面，根据企业生产用化石能源的消耗量、缺省热值（取自中国能源统计年鉴）与排放因子（取自IPCC）估算。采集到的数据以功能单位进行核算。</w:t>
      </w:r>
    </w:p>
    <w:p w14:paraId="753649DF">
      <w:pPr>
        <w:keepNext w:val="0"/>
        <w:keepLines w:val="0"/>
        <w:pageBreakBefore w:val="0"/>
        <w:widowControl/>
        <w:kinsoku w:val="0"/>
        <w:wordWrap/>
        <w:overflowPunct/>
        <w:topLinePunct w:val="0"/>
        <w:autoSpaceDE w:val="0"/>
        <w:autoSpaceDN w:val="0"/>
        <w:bidi w:val="0"/>
        <w:adjustRightInd w:val="0"/>
        <w:snapToGrid w:val="0"/>
        <w:spacing w:before="6" w:after="0" w:afterLines="30" w:line="360" w:lineRule="auto"/>
        <w:ind w:left="0"/>
        <w:jc w:val="both"/>
        <w:textAlignment w:val="baseline"/>
        <w:outlineLvl w:val="2"/>
        <w:rPr>
          <w:rFonts w:hint="default" w:ascii="Times New Roman" w:hAnsi="Times New Roman" w:eastAsia="Times New Roman" w:cs="Times New Roman"/>
          <w:b w:val="0"/>
          <w:bCs w:val="0"/>
          <w:spacing w:val="-1"/>
          <w:sz w:val="24"/>
          <w:szCs w:val="24"/>
          <w:lang w:val="en-US" w:eastAsia="zh-CN"/>
        </w:rPr>
      </w:pPr>
      <w:r>
        <w:rPr>
          <w:rFonts w:hint="eastAsia" w:ascii="Times New Roman" w:hAnsi="Times New Roman" w:eastAsia="Times New Roman" w:cs="Times New Roman"/>
          <w:b w:val="0"/>
          <w:bCs w:val="0"/>
          <w:spacing w:val="-1"/>
          <w:sz w:val="24"/>
          <w:szCs w:val="24"/>
          <w:lang w:val="en-US" w:eastAsia="zh-CN"/>
        </w:rPr>
        <w:t>3.3.4.1 数据来源说明</w:t>
      </w:r>
    </w:p>
    <w:p w14:paraId="48168BC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1）初级数据的收集和确认</w:t>
      </w:r>
    </w:p>
    <w:p w14:paraId="377E501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企业现场数据包括生产阶段的原材料消耗、能源消耗、污染物排放以及运输数据（运输方式、距离、运输量）等，统计周期为连续</w:t>
      </w:r>
      <w:r>
        <w:rPr>
          <w:rFonts w:hint="eastAsia" w:ascii="Times New Roman" w:hAnsi="Times New Roman" w:eastAsia="宋体" w:cs="Times New Roman"/>
          <w:spacing w:val="1"/>
          <w:position w:val="17"/>
          <w:sz w:val="24"/>
          <w:szCs w:val="24"/>
          <w:lang w:val="en-US" w:eastAsia="zh-CN"/>
        </w:rPr>
        <w:t>12</w:t>
      </w:r>
      <w:r>
        <w:rPr>
          <w:rFonts w:hint="default" w:ascii="Times New Roman" w:hAnsi="Times New Roman" w:eastAsia="宋体" w:cs="Times New Roman"/>
          <w:spacing w:val="1"/>
          <w:position w:val="17"/>
          <w:sz w:val="24"/>
          <w:szCs w:val="24"/>
          <w:lang w:val="en-US" w:eastAsia="zh-CN"/>
        </w:rPr>
        <w:t>个月。现场数据通过对</w:t>
      </w:r>
      <w:r>
        <w:rPr>
          <w:rFonts w:hint="eastAsia" w:ascii="Times New Roman" w:hAnsi="Times New Roman" w:eastAsia="宋体" w:cs="Times New Roman"/>
          <w:spacing w:val="1"/>
          <w:position w:val="17"/>
          <w:sz w:val="24"/>
          <w:szCs w:val="24"/>
          <w:lang w:val="en-US" w:eastAsia="zh-CN"/>
        </w:rPr>
        <w:t>远大阀门集团有限公司</w:t>
      </w:r>
      <w:r>
        <w:rPr>
          <w:rFonts w:hint="default" w:ascii="Times New Roman" w:hAnsi="Times New Roman" w:eastAsia="宋体" w:cs="Times New Roman"/>
          <w:spacing w:val="1"/>
          <w:position w:val="17"/>
          <w:sz w:val="24"/>
          <w:szCs w:val="24"/>
          <w:lang w:val="en-US" w:eastAsia="zh-CN"/>
        </w:rPr>
        <w:t>生产现场调研方式获取</w:t>
      </w:r>
      <w:r>
        <w:rPr>
          <w:rFonts w:hint="eastAsia" w:ascii="Times New Roman" w:hAnsi="Times New Roman" w:eastAsia="宋体" w:cs="Times New Roman"/>
          <w:spacing w:val="1"/>
          <w:position w:val="17"/>
          <w:sz w:val="24"/>
          <w:szCs w:val="24"/>
          <w:lang w:val="en-US" w:eastAsia="zh-CN"/>
        </w:rPr>
        <w:t>，</w:t>
      </w:r>
      <w:r>
        <w:rPr>
          <w:rFonts w:hint="default" w:ascii="Times New Roman" w:hAnsi="Times New Roman" w:eastAsia="宋体" w:cs="Times New Roman"/>
          <w:spacing w:val="1"/>
          <w:position w:val="17"/>
          <w:sz w:val="24"/>
          <w:szCs w:val="24"/>
          <w:lang w:val="en-US" w:eastAsia="zh-CN"/>
        </w:rPr>
        <w:t>现场数据来源见表</w:t>
      </w:r>
      <w:r>
        <w:rPr>
          <w:rFonts w:hint="eastAsia" w:ascii="Times New Roman" w:hAnsi="Times New Roman" w:eastAsia="宋体" w:cs="Times New Roman"/>
          <w:spacing w:val="1"/>
          <w:position w:val="17"/>
          <w:sz w:val="24"/>
          <w:szCs w:val="24"/>
          <w:lang w:val="en-US" w:eastAsia="zh-CN"/>
        </w:rPr>
        <w:t>8</w:t>
      </w:r>
      <w:r>
        <w:rPr>
          <w:rFonts w:hint="default" w:ascii="Times New Roman" w:hAnsi="Times New Roman" w:eastAsia="宋体" w:cs="Times New Roman"/>
          <w:spacing w:val="1"/>
          <w:position w:val="17"/>
          <w:sz w:val="24"/>
          <w:szCs w:val="24"/>
          <w:lang w:val="en-US" w:eastAsia="zh-CN"/>
        </w:rPr>
        <w:t>。</w:t>
      </w:r>
    </w:p>
    <w:p w14:paraId="0A0A3B1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default"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表</w:t>
      </w:r>
      <w:r>
        <w:rPr>
          <w:rFonts w:hint="eastAsia" w:ascii="Times New Roman" w:hAnsi="Times New Roman" w:eastAsia="宋体" w:cs="Times New Roman"/>
          <w:spacing w:val="1"/>
          <w:position w:val="17"/>
          <w:sz w:val="24"/>
          <w:szCs w:val="24"/>
          <w:lang w:val="en-US" w:eastAsia="zh-CN"/>
        </w:rPr>
        <w:t>8：</w:t>
      </w:r>
      <w:r>
        <w:rPr>
          <w:rFonts w:hint="default" w:ascii="Times New Roman" w:hAnsi="Times New Roman" w:eastAsia="宋体" w:cs="Times New Roman"/>
          <w:spacing w:val="1"/>
          <w:position w:val="17"/>
          <w:sz w:val="24"/>
          <w:szCs w:val="24"/>
          <w:lang w:val="en-US" w:eastAsia="zh-CN"/>
        </w:rPr>
        <w:t>现场数据来源</w:t>
      </w:r>
    </w:p>
    <w:tbl>
      <w:tblPr>
        <w:tblStyle w:val="1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01"/>
        <w:gridCol w:w="5437"/>
      </w:tblGrid>
      <w:tr w14:paraId="57F32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gridSpan w:val="2"/>
          </w:tcPr>
          <w:p w14:paraId="175C968F">
            <w:pPr>
              <w:widowControl w:val="0"/>
              <w:spacing w:line="240" w:lineRule="auto"/>
              <w:ind w:firstLine="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项目</w:t>
            </w:r>
          </w:p>
        </w:tc>
        <w:tc>
          <w:tcPr>
            <w:tcW w:w="5437" w:type="dxa"/>
          </w:tcPr>
          <w:p w14:paraId="298C3661">
            <w:pPr>
              <w:widowControl w:val="0"/>
              <w:spacing w:line="240" w:lineRule="auto"/>
              <w:ind w:firstLine="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来源</w:t>
            </w:r>
          </w:p>
        </w:tc>
      </w:tr>
      <w:tr w14:paraId="31BE6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gridSpan w:val="2"/>
          </w:tcPr>
          <w:p w14:paraId="29D9553D">
            <w:pPr>
              <w:widowControl w:val="0"/>
              <w:spacing w:line="240" w:lineRule="auto"/>
              <w:ind w:firstLine="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产品产量</w:t>
            </w:r>
          </w:p>
        </w:tc>
        <w:tc>
          <w:tcPr>
            <w:tcW w:w="5437" w:type="dxa"/>
          </w:tcPr>
          <w:p w14:paraId="7A31EDD9">
            <w:pPr>
              <w:widowControl w:val="0"/>
              <w:spacing w:line="240" w:lineRule="auto"/>
              <w:ind w:firstLine="0"/>
              <w:rPr>
                <w:rFonts w:hint="eastAsia" w:ascii="宋体" w:hAnsi="宋体" w:eastAsia="宋体" w:cs="宋体"/>
                <w:sz w:val="24"/>
                <w:szCs w:val="24"/>
                <w:highlight w:val="none"/>
              </w:rPr>
            </w:pPr>
            <w:r>
              <w:rPr>
                <w:rFonts w:hint="eastAsia" w:ascii="宋体" w:hAnsi="宋体" w:eastAsia="宋体" w:cs="宋体"/>
                <w:sz w:val="24"/>
                <w:szCs w:val="24"/>
                <w:highlight w:val="none"/>
              </w:rPr>
              <w:t>企业生产报表</w:t>
            </w:r>
          </w:p>
        </w:tc>
      </w:tr>
      <w:tr w14:paraId="4135D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gridSpan w:val="2"/>
          </w:tcPr>
          <w:p w14:paraId="43D54241">
            <w:pPr>
              <w:widowControl w:val="0"/>
              <w:spacing w:line="240" w:lineRule="auto"/>
              <w:ind w:firstLine="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原材料消耗</w:t>
            </w:r>
          </w:p>
        </w:tc>
        <w:tc>
          <w:tcPr>
            <w:tcW w:w="5437" w:type="dxa"/>
          </w:tcPr>
          <w:p w14:paraId="230694DB">
            <w:pPr>
              <w:widowControl w:val="0"/>
              <w:spacing w:line="240" w:lineRule="auto"/>
              <w:ind w:firstLine="0"/>
              <w:rPr>
                <w:rFonts w:hint="eastAsia" w:ascii="宋体" w:hAnsi="宋体" w:eastAsia="宋体" w:cs="宋体"/>
                <w:sz w:val="24"/>
                <w:szCs w:val="24"/>
                <w:highlight w:val="none"/>
              </w:rPr>
            </w:pPr>
            <w:r>
              <w:rPr>
                <w:rFonts w:hint="eastAsia" w:ascii="宋体" w:hAnsi="宋体" w:eastAsia="宋体" w:cs="宋体"/>
                <w:sz w:val="24"/>
                <w:szCs w:val="24"/>
                <w:highlight w:val="none"/>
              </w:rPr>
              <w:t>企业生产报表</w:t>
            </w:r>
          </w:p>
        </w:tc>
      </w:tr>
      <w:tr w14:paraId="3975B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gridSpan w:val="2"/>
          </w:tcPr>
          <w:p w14:paraId="5883A425">
            <w:pPr>
              <w:widowControl w:val="0"/>
              <w:spacing w:line="240" w:lineRule="auto"/>
              <w:ind w:firstLine="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能源消耗</w:t>
            </w:r>
          </w:p>
        </w:tc>
        <w:tc>
          <w:tcPr>
            <w:tcW w:w="5437" w:type="dxa"/>
          </w:tcPr>
          <w:p w14:paraId="7A3D82DF">
            <w:pPr>
              <w:widowControl w:val="0"/>
              <w:spacing w:line="240" w:lineRule="auto"/>
              <w:ind w:firstLine="0"/>
              <w:rPr>
                <w:rFonts w:hint="eastAsia" w:ascii="宋体" w:hAnsi="宋体" w:eastAsia="宋体" w:cs="宋体"/>
                <w:sz w:val="24"/>
                <w:szCs w:val="24"/>
                <w:highlight w:val="none"/>
              </w:rPr>
            </w:pPr>
            <w:r>
              <w:rPr>
                <w:rFonts w:hint="eastAsia" w:ascii="宋体" w:hAnsi="宋体" w:eastAsia="宋体" w:cs="宋体"/>
                <w:sz w:val="24"/>
                <w:szCs w:val="24"/>
                <w:highlight w:val="none"/>
              </w:rPr>
              <w:t>企业生产报表</w:t>
            </w:r>
          </w:p>
        </w:tc>
      </w:tr>
      <w:tr w14:paraId="08870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gridSpan w:val="2"/>
          </w:tcPr>
          <w:p w14:paraId="1AF0D2EB">
            <w:pPr>
              <w:widowControl w:val="0"/>
              <w:spacing w:line="240" w:lineRule="auto"/>
              <w:ind w:firstLine="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原材料、能源运输距离</w:t>
            </w:r>
          </w:p>
        </w:tc>
        <w:tc>
          <w:tcPr>
            <w:tcW w:w="5437" w:type="dxa"/>
          </w:tcPr>
          <w:p w14:paraId="3965EFED">
            <w:pPr>
              <w:widowControl w:val="0"/>
              <w:spacing w:line="240" w:lineRule="auto"/>
              <w:ind w:firstLine="0"/>
              <w:rPr>
                <w:rFonts w:hint="eastAsia" w:ascii="宋体" w:hAnsi="宋体" w:eastAsia="宋体" w:cs="宋体"/>
                <w:sz w:val="24"/>
                <w:szCs w:val="24"/>
                <w:highlight w:val="none"/>
              </w:rPr>
            </w:pPr>
            <w:r>
              <w:rPr>
                <w:rFonts w:hint="eastAsia" w:ascii="宋体" w:hAnsi="宋体" w:eastAsia="宋体" w:cs="宋体"/>
                <w:sz w:val="24"/>
                <w:szCs w:val="24"/>
                <w:highlight w:val="none"/>
              </w:rPr>
              <w:t>根据其产地估算</w:t>
            </w:r>
          </w:p>
        </w:tc>
      </w:tr>
      <w:tr w14:paraId="6181A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Merge w:val="restart"/>
            <w:vAlign w:val="center"/>
          </w:tcPr>
          <w:p w14:paraId="1FA7E6DA">
            <w:pPr>
              <w:widowControl w:val="0"/>
              <w:spacing w:line="240" w:lineRule="auto"/>
              <w:ind w:firstLine="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温室气体</w:t>
            </w:r>
          </w:p>
        </w:tc>
        <w:tc>
          <w:tcPr>
            <w:tcW w:w="1701" w:type="dxa"/>
          </w:tcPr>
          <w:p w14:paraId="2AAD1D2F">
            <w:pPr>
              <w:widowControl w:val="0"/>
              <w:spacing w:line="240" w:lineRule="auto"/>
              <w:ind w:firstLine="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二氧化碳</w:t>
            </w:r>
          </w:p>
        </w:tc>
        <w:tc>
          <w:tcPr>
            <w:tcW w:w="5437" w:type="dxa"/>
            <w:vMerge w:val="restart"/>
          </w:tcPr>
          <w:p w14:paraId="45ACEB66">
            <w:pPr>
              <w:widowControl w:val="0"/>
              <w:spacing w:line="240" w:lineRule="auto"/>
              <w:ind w:firstLine="0"/>
              <w:rPr>
                <w:rFonts w:hint="eastAsia" w:ascii="宋体" w:hAnsi="宋体" w:eastAsia="宋体" w:cs="宋体"/>
                <w:sz w:val="24"/>
                <w:szCs w:val="24"/>
                <w:highlight w:val="none"/>
              </w:rPr>
            </w:pPr>
            <w:r>
              <w:rPr>
                <w:rFonts w:hint="eastAsia" w:ascii="宋体" w:hAnsi="宋体" w:eastAsia="宋体" w:cs="宋体"/>
                <w:sz w:val="24"/>
                <w:szCs w:val="24"/>
                <w:highlight w:val="none"/>
              </w:rPr>
              <w:t>根据生产用化石能源的消耗量、缺省热值（取自中国能源统计年鉴）与排放因子（取自IPCC报告）估算</w:t>
            </w:r>
          </w:p>
        </w:tc>
      </w:tr>
      <w:tr w14:paraId="5C3C3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vMerge w:val="continue"/>
          </w:tcPr>
          <w:p w14:paraId="1078D2E0">
            <w:pPr>
              <w:widowControl w:val="0"/>
              <w:spacing w:line="240" w:lineRule="auto"/>
              <w:ind w:firstLine="0"/>
              <w:jc w:val="center"/>
              <w:rPr>
                <w:rFonts w:hint="eastAsia" w:ascii="宋体" w:hAnsi="宋体" w:eastAsia="宋体" w:cs="宋体"/>
                <w:sz w:val="24"/>
                <w:szCs w:val="24"/>
              </w:rPr>
            </w:pPr>
          </w:p>
        </w:tc>
        <w:tc>
          <w:tcPr>
            <w:tcW w:w="1701" w:type="dxa"/>
            <w:vAlign w:val="center"/>
          </w:tcPr>
          <w:p w14:paraId="59094479">
            <w:pPr>
              <w:widowControl w:val="0"/>
              <w:spacing w:line="240" w:lineRule="auto"/>
              <w:ind w:firstLine="0"/>
              <w:jc w:val="center"/>
              <w:rPr>
                <w:rFonts w:hint="eastAsia" w:ascii="宋体" w:hAnsi="宋体" w:eastAsia="宋体" w:cs="宋体"/>
                <w:sz w:val="24"/>
                <w:szCs w:val="24"/>
              </w:rPr>
            </w:pPr>
            <w:r>
              <w:rPr>
                <w:rFonts w:hint="eastAsia" w:ascii="宋体" w:hAnsi="宋体" w:eastAsia="宋体" w:cs="宋体"/>
                <w:sz w:val="24"/>
                <w:szCs w:val="24"/>
              </w:rPr>
              <w:t>其他温室气体</w:t>
            </w:r>
          </w:p>
        </w:tc>
        <w:tc>
          <w:tcPr>
            <w:tcW w:w="5437" w:type="dxa"/>
            <w:vMerge w:val="continue"/>
          </w:tcPr>
          <w:p w14:paraId="2AEA9A29">
            <w:pPr>
              <w:widowControl w:val="0"/>
              <w:spacing w:line="240" w:lineRule="auto"/>
              <w:ind w:firstLine="0"/>
              <w:rPr>
                <w:rFonts w:hint="eastAsia" w:ascii="宋体" w:hAnsi="宋体" w:eastAsia="宋体" w:cs="宋体"/>
                <w:sz w:val="24"/>
                <w:szCs w:val="24"/>
              </w:rPr>
            </w:pPr>
          </w:p>
        </w:tc>
      </w:tr>
    </w:tbl>
    <w:p w14:paraId="5339606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2）次级</w:t>
      </w:r>
      <w:r>
        <w:rPr>
          <w:rFonts w:hint="default" w:ascii="Times New Roman" w:hAnsi="Times New Roman" w:eastAsia="宋体" w:cs="Times New Roman"/>
          <w:spacing w:val="1"/>
          <w:position w:val="17"/>
          <w:sz w:val="24"/>
          <w:szCs w:val="24"/>
          <w:lang w:val="en-US" w:eastAsia="zh-CN"/>
        </w:rPr>
        <w:t>数据</w:t>
      </w:r>
      <w:r>
        <w:rPr>
          <w:rFonts w:hint="eastAsia" w:ascii="Times New Roman" w:hAnsi="Times New Roman" w:eastAsia="宋体" w:cs="Times New Roman"/>
          <w:spacing w:val="1"/>
          <w:position w:val="17"/>
          <w:sz w:val="24"/>
          <w:szCs w:val="24"/>
          <w:lang w:val="en-US" w:eastAsia="zh-CN"/>
        </w:rPr>
        <w:t>的收集</w:t>
      </w:r>
    </w:p>
    <w:p w14:paraId="6E45317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lang w:val="en-US" w:eastAsia="zh-CN"/>
        </w:rPr>
      </w:pPr>
      <w:r>
        <w:rPr>
          <w:rFonts w:hint="eastAsia" w:ascii="Times New Roman" w:hAnsi="Times New Roman" w:eastAsia="宋体" w:cs="Times New Roman"/>
          <w:spacing w:val="1"/>
          <w:position w:val="17"/>
          <w:sz w:val="24"/>
          <w:szCs w:val="24"/>
          <w:lang w:val="en-US" w:eastAsia="zh-CN"/>
        </w:rPr>
        <w:t>次级</w:t>
      </w:r>
      <w:r>
        <w:rPr>
          <w:rFonts w:hint="default" w:ascii="Times New Roman" w:hAnsi="Times New Roman" w:eastAsia="宋体" w:cs="Times New Roman"/>
          <w:spacing w:val="1"/>
          <w:position w:val="17"/>
          <w:sz w:val="24"/>
          <w:szCs w:val="24"/>
          <w:lang w:val="en-US" w:eastAsia="zh-CN"/>
        </w:rPr>
        <w:t>数据指企业运营边界外与产品生产相关的原材料获取、运输、能源生产等过程的资源、能源消耗与污染物排放数据。数据主要来源于欧洲Ecoinvent数据库。</w:t>
      </w:r>
    </w:p>
    <w:p w14:paraId="28C66CD8">
      <w:pPr>
        <w:keepNext w:val="0"/>
        <w:keepLines w:val="0"/>
        <w:pageBreakBefore w:val="0"/>
        <w:widowControl/>
        <w:kinsoku w:val="0"/>
        <w:wordWrap/>
        <w:overflowPunct/>
        <w:topLinePunct w:val="0"/>
        <w:autoSpaceDE w:val="0"/>
        <w:autoSpaceDN w:val="0"/>
        <w:bidi w:val="0"/>
        <w:adjustRightInd w:val="0"/>
        <w:snapToGrid w:val="0"/>
        <w:spacing w:before="6" w:after="0" w:afterLines="30" w:line="360" w:lineRule="auto"/>
        <w:ind w:left="0"/>
        <w:jc w:val="both"/>
        <w:textAlignment w:val="baseline"/>
        <w:outlineLvl w:val="2"/>
        <w:rPr>
          <w:rFonts w:hint="eastAsia" w:ascii="Times New Roman" w:hAnsi="Times New Roman" w:eastAsia="Times New Roman" w:cs="Times New Roman"/>
          <w:b w:val="0"/>
          <w:bCs w:val="0"/>
          <w:spacing w:val="-1"/>
          <w:sz w:val="24"/>
          <w:szCs w:val="24"/>
          <w:lang w:val="en-US" w:eastAsia="zh-CN"/>
        </w:rPr>
      </w:pPr>
      <w:r>
        <w:rPr>
          <w:rFonts w:hint="eastAsia" w:ascii="Times New Roman" w:hAnsi="Times New Roman" w:eastAsia="Times New Roman" w:cs="Times New Roman"/>
          <w:b w:val="0"/>
          <w:bCs w:val="0"/>
          <w:spacing w:val="-1"/>
          <w:sz w:val="24"/>
          <w:szCs w:val="24"/>
          <w:lang w:val="en-US" w:eastAsia="zh-CN"/>
        </w:rPr>
        <w:t>3.3.4.2 清单结果及计算</w:t>
      </w:r>
    </w:p>
    <w:p w14:paraId="37A6FB6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生命周期各个阶段碳排放计算说明见表9。</w:t>
      </w:r>
    </w:p>
    <w:p w14:paraId="7934B4D5">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Arial" w:hAnsi="Arial" w:eastAsia="Arial" w:cs="Arial"/>
          <w:snapToGrid w:val="0"/>
          <w:color w:val="000000"/>
          <w:kern w:val="0"/>
          <w:sz w:val="21"/>
          <w:szCs w:val="21"/>
          <w:lang w:val="en-US" w:eastAsia="zh-CN"/>
        </w:rPr>
      </w:pPr>
      <w:r>
        <w:rPr>
          <w:rFonts w:hint="eastAsia" w:ascii="Times New Roman" w:hAnsi="Times New Roman" w:eastAsia="宋体" w:cs="Times New Roman"/>
          <w:spacing w:val="1"/>
          <w:position w:val="17"/>
          <w:sz w:val="24"/>
          <w:szCs w:val="24"/>
          <w:lang w:val="en-US" w:eastAsia="zh-CN"/>
        </w:rPr>
        <w:t>表9：截止阀产品生命周期碳排放清单说明</w:t>
      </w:r>
    </w:p>
    <w:p w14:paraId="3C23D73C">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default" w:ascii="Times New Roman" w:hAnsi="Times New Roman" w:eastAsia="宋体" w:cs="Times New Roman"/>
          <w:spacing w:val="1"/>
          <w:position w:val="17"/>
          <w:sz w:val="24"/>
          <w:szCs w:val="24"/>
          <w:lang w:val="en-US" w:eastAsia="zh-CN"/>
        </w:rPr>
      </w:pPr>
      <w:r>
        <w:drawing>
          <wp:inline distT="0" distB="0" distL="114300" distR="114300">
            <wp:extent cx="5290185" cy="2635250"/>
            <wp:effectExtent l="0" t="0" r="13335" b="1270"/>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pic:cNvPicPr>
                      <a:picLocks noChangeAspect="1"/>
                    </pic:cNvPicPr>
                  </pic:nvPicPr>
                  <pic:blipFill>
                    <a:blip r:embed="rId14"/>
                    <a:stretch>
                      <a:fillRect/>
                    </a:stretch>
                  </pic:blipFill>
                  <pic:spPr>
                    <a:xfrm>
                      <a:off x="0" y="0"/>
                      <a:ext cx="5290185" cy="2635250"/>
                    </a:xfrm>
                    <a:prstGeom prst="rect">
                      <a:avLst/>
                    </a:prstGeom>
                    <a:noFill/>
                    <a:ln>
                      <a:noFill/>
                    </a:ln>
                  </pic:spPr>
                </pic:pic>
              </a:graphicData>
            </a:graphic>
          </wp:inline>
        </w:drawing>
      </w:r>
    </w:p>
    <w:p w14:paraId="1798DDBF">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default" w:ascii="Times New Roman" w:hAnsi="Times New Roman" w:eastAsia="宋体" w:cs="Times New Roman"/>
          <w:spacing w:val="1"/>
          <w:position w:val="17"/>
          <w:sz w:val="24"/>
          <w:szCs w:val="24"/>
          <w:lang w:val="en-US" w:eastAsia="zh-CN"/>
        </w:rPr>
      </w:pPr>
      <w:r>
        <w:drawing>
          <wp:inline distT="0" distB="0" distL="114300" distR="114300">
            <wp:extent cx="5290820" cy="2294890"/>
            <wp:effectExtent l="0" t="0" r="12700" b="6350"/>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pic:cNvPicPr>
                      <a:picLocks noChangeAspect="1"/>
                    </pic:cNvPicPr>
                  </pic:nvPicPr>
                  <pic:blipFill>
                    <a:blip r:embed="rId15"/>
                    <a:stretch>
                      <a:fillRect/>
                    </a:stretch>
                  </pic:blipFill>
                  <pic:spPr>
                    <a:xfrm>
                      <a:off x="0" y="0"/>
                      <a:ext cx="5290820" cy="2294890"/>
                    </a:xfrm>
                    <a:prstGeom prst="rect">
                      <a:avLst/>
                    </a:prstGeom>
                    <a:noFill/>
                    <a:ln>
                      <a:noFill/>
                    </a:ln>
                  </pic:spPr>
                </pic:pic>
              </a:graphicData>
            </a:graphic>
          </wp:inline>
        </w:drawing>
      </w:r>
    </w:p>
    <w:p w14:paraId="70979BE4">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图</w:t>
      </w:r>
      <w:r>
        <w:rPr>
          <w:rFonts w:hint="eastAsia" w:ascii="Times New Roman" w:hAnsi="Times New Roman" w:eastAsia="宋体" w:cs="Times New Roman"/>
          <w:spacing w:val="1"/>
          <w:position w:val="17"/>
          <w:sz w:val="24"/>
          <w:szCs w:val="24"/>
          <w:lang w:val="en-US" w:eastAsia="zh-CN"/>
        </w:rPr>
        <w:t>9：</w:t>
      </w:r>
      <w:r>
        <w:rPr>
          <w:rFonts w:hint="default" w:ascii="Times New Roman" w:hAnsi="Times New Roman" w:eastAsia="宋体" w:cs="Times New Roman"/>
          <w:spacing w:val="1"/>
          <w:position w:val="17"/>
          <w:sz w:val="24"/>
          <w:szCs w:val="24"/>
          <w:lang w:val="en-US" w:eastAsia="zh-CN"/>
        </w:rPr>
        <w:t>产品各阶段碳足迹（单位：kg CO</w:t>
      </w:r>
      <w:r>
        <w:rPr>
          <w:rFonts w:hint="default" w:ascii="Times New Roman" w:hAnsi="Times New Roman" w:eastAsia="宋体" w:cs="Times New Roman"/>
          <w:spacing w:val="1"/>
          <w:position w:val="17"/>
          <w:sz w:val="24"/>
          <w:szCs w:val="24"/>
          <w:vertAlign w:val="subscript"/>
          <w:lang w:val="en-US" w:eastAsia="zh-CN"/>
        </w:rPr>
        <w:t>2</w:t>
      </w:r>
      <w:r>
        <w:rPr>
          <w:rFonts w:hint="default" w:ascii="Times New Roman" w:hAnsi="Times New Roman" w:eastAsia="宋体" w:cs="Times New Roman"/>
          <w:spacing w:val="1"/>
          <w:position w:val="17"/>
          <w:sz w:val="24"/>
          <w:szCs w:val="24"/>
          <w:lang w:val="en-US" w:eastAsia="zh-CN"/>
        </w:rPr>
        <w:t xml:space="preserve"> eq.）</w:t>
      </w:r>
    </w:p>
    <w:p w14:paraId="6BF01794">
      <w:pPr>
        <w:keepNext w:val="0"/>
        <w:keepLines w:val="0"/>
        <w:pageBreakBefore w:val="0"/>
        <w:widowControl/>
        <w:kinsoku w:val="0"/>
        <w:wordWrap/>
        <w:overflowPunct/>
        <w:topLinePunct w:val="0"/>
        <w:autoSpaceDE w:val="0"/>
        <w:autoSpaceDN w:val="0"/>
        <w:bidi w:val="0"/>
        <w:adjustRightInd w:val="0"/>
        <w:snapToGrid w:val="0"/>
        <w:spacing w:before="6" w:after="0" w:afterLines="30" w:line="360" w:lineRule="auto"/>
        <w:ind w:left="0"/>
        <w:jc w:val="both"/>
        <w:textAlignment w:val="baseline"/>
        <w:outlineLvl w:val="2"/>
        <w:rPr>
          <w:rFonts w:hint="eastAsia" w:ascii="Times New Roman" w:hAnsi="Times New Roman" w:eastAsia="Times New Roman" w:cs="Times New Roman"/>
          <w:b w:val="0"/>
          <w:bCs w:val="0"/>
          <w:spacing w:val="-1"/>
          <w:sz w:val="24"/>
          <w:szCs w:val="24"/>
          <w:lang w:val="en-US" w:eastAsia="zh-CN"/>
        </w:rPr>
      </w:pPr>
      <w:r>
        <w:rPr>
          <w:rFonts w:hint="eastAsia" w:ascii="Times New Roman" w:hAnsi="Times New Roman" w:eastAsia="Times New Roman" w:cs="Times New Roman"/>
          <w:b w:val="0"/>
          <w:bCs w:val="0"/>
          <w:spacing w:val="-1"/>
          <w:sz w:val="24"/>
          <w:szCs w:val="24"/>
          <w:lang w:val="en-US" w:eastAsia="zh-CN"/>
        </w:rPr>
        <w:t>3.3.4.3 数据质量评价（可选项）</w:t>
      </w:r>
    </w:p>
    <w:p w14:paraId="04667FF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1)现场数据</w:t>
      </w:r>
    </w:p>
    <w:p w14:paraId="410EFC1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a</w:t>
      </w:r>
      <w:r>
        <w:rPr>
          <w:rFonts w:hint="eastAsia" w:ascii="Times New Roman" w:hAnsi="Times New Roman" w:eastAsia="宋体" w:cs="Times New Roman"/>
          <w:spacing w:val="1"/>
          <w:position w:val="17"/>
          <w:sz w:val="24"/>
          <w:szCs w:val="24"/>
          <w:lang w:val="en-US" w:eastAsia="zh-CN"/>
        </w:rPr>
        <w:t xml:space="preserve">）完整性：现场数据收集了企业统计周期内的生产统计数据。 </w:t>
      </w:r>
    </w:p>
    <w:p w14:paraId="459CD19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b</w:t>
      </w:r>
      <w:r>
        <w:rPr>
          <w:rFonts w:hint="eastAsia" w:ascii="Times New Roman" w:hAnsi="Times New Roman" w:eastAsia="宋体" w:cs="Times New Roman"/>
          <w:spacing w:val="1"/>
          <w:position w:val="17"/>
          <w:sz w:val="24"/>
          <w:szCs w:val="24"/>
          <w:lang w:val="en-US" w:eastAsia="zh-CN"/>
        </w:rPr>
        <w:t xml:space="preserve">）准确性：现场数据中的产品产量、能源消耗、原材料消耗数据来自企业的实际生产统计记录；环境排放数据中，二氧化碳等温室气体及其他无法直接获 得的污染气体根据生产用化石能源的消耗量、缺省热值（取自中国能源统计年鉴） 与排放因子（取自 </w:t>
      </w:r>
      <w:r>
        <w:rPr>
          <w:rFonts w:hint="default" w:ascii="Times New Roman" w:hAnsi="Times New Roman" w:eastAsia="宋体" w:cs="Times New Roman"/>
          <w:spacing w:val="1"/>
          <w:position w:val="17"/>
          <w:sz w:val="24"/>
          <w:szCs w:val="24"/>
          <w:lang w:val="en-US" w:eastAsia="zh-CN"/>
        </w:rPr>
        <w:t xml:space="preserve">IPCC </w:t>
      </w:r>
      <w:r>
        <w:rPr>
          <w:rFonts w:hint="eastAsia" w:ascii="Times New Roman" w:hAnsi="Times New Roman" w:eastAsia="宋体" w:cs="Times New Roman"/>
          <w:spacing w:val="1"/>
          <w:position w:val="17"/>
          <w:sz w:val="24"/>
          <w:szCs w:val="24"/>
          <w:lang w:val="en-US" w:eastAsia="zh-CN"/>
        </w:rPr>
        <w:t xml:space="preserve">报告与 </w:t>
      </w:r>
      <w:r>
        <w:rPr>
          <w:rFonts w:hint="default" w:ascii="Times New Roman" w:hAnsi="Times New Roman" w:eastAsia="宋体" w:cs="Times New Roman"/>
          <w:spacing w:val="1"/>
          <w:position w:val="17"/>
          <w:sz w:val="24"/>
          <w:szCs w:val="24"/>
          <w:lang w:val="en-US" w:eastAsia="zh-CN"/>
        </w:rPr>
        <w:t xml:space="preserve">EEA </w:t>
      </w:r>
      <w:r>
        <w:rPr>
          <w:rFonts w:hint="eastAsia" w:ascii="Times New Roman" w:hAnsi="Times New Roman" w:eastAsia="宋体" w:cs="Times New Roman"/>
          <w:spacing w:val="1"/>
          <w:position w:val="17"/>
          <w:sz w:val="24"/>
          <w:szCs w:val="24"/>
          <w:lang w:val="en-US" w:eastAsia="zh-CN"/>
        </w:rPr>
        <w:t xml:space="preserve">报告）估算。 </w:t>
      </w:r>
    </w:p>
    <w:p w14:paraId="2D492BD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c</w:t>
      </w:r>
      <w:r>
        <w:rPr>
          <w:rFonts w:hint="eastAsia" w:ascii="Times New Roman" w:hAnsi="Times New Roman" w:eastAsia="宋体" w:cs="Times New Roman"/>
          <w:spacing w:val="1"/>
          <w:position w:val="17"/>
          <w:sz w:val="24"/>
          <w:szCs w:val="24"/>
          <w:lang w:val="en-US" w:eastAsia="zh-CN"/>
        </w:rPr>
        <w:t>）一致性：企业现场数据收集时同类数据均保持相同的数据来源、统计口径、处理规则等。</w:t>
      </w:r>
    </w:p>
    <w:p w14:paraId="1BE7102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2</w:t>
      </w:r>
      <w:r>
        <w:rPr>
          <w:rFonts w:hint="eastAsia" w:ascii="Times New Roman" w:hAnsi="Times New Roman" w:eastAsia="宋体" w:cs="Times New Roman"/>
          <w:spacing w:val="1"/>
          <w:position w:val="17"/>
          <w:sz w:val="24"/>
          <w:szCs w:val="24"/>
          <w:lang w:val="en-US" w:eastAsia="zh-CN"/>
        </w:rPr>
        <w:t xml:space="preserve">）背景数据 </w:t>
      </w:r>
    </w:p>
    <w:p w14:paraId="48EBC77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a</w:t>
      </w:r>
      <w:r>
        <w:rPr>
          <w:rFonts w:hint="eastAsia" w:ascii="Times New Roman" w:hAnsi="Times New Roman" w:eastAsia="宋体" w:cs="Times New Roman"/>
          <w:spacing w:val="1"/>
          <w:position w:val="17"/>
          <w:sz w:val="24"/>
          <w:szCs w:val="24"/>
          <w:lang w:val="en-US" w:eastAsia="zh-CN"/>
        </w:rPr>
        <w:t xml:space="preserve">）代表性：优先选择企业的原料供应商提供的符合相关 </w:t>
      </w:r>
      <w:r>
        <w:rPr>
          <w:rFonts w:hint="default" w:ascii="Times New Roman" w:hAnsi="Times New Roman" w:eastAsia="宋体" w:cs="Times New Roman"/>
          <w:spacing w:val="1"/>
          <w:position w:val="17"/>
          <w:sz w:val="24"/>
          <w:szCs w:val="24"/>
          <w:lang w:val="en-US" w:eastAsia="zh-CN"/>
        </w:rPr>
        <w:t xml:space="preserve">PCR </w:t>
      </w:r>
      <w:r>
        <w:rPr>
          <w:rFonts w:hint="eastAsia" w:ascii="Times New Roman" w:hAnsi="Times New Roman" w:eastAsia="宋体" w:cs="Times New Roman"/>
          <w:spacing w:val="1"/>
          <w:position w:val="17"/>
          <w:sz w:val="24"/>
          <w:szCs w:val="24"/>
          <w:lang w:val="en-US" w:eastAsia="zh-CN"/>
        </w:rPr>
        <w:t xml:space="preserve">标准要求、经第三方独立验证的上游产品数据作为背景数据，其次选择近年代表国内行业平均生产水平的公开生命周期评价数据，再次选择国外同类技术数据作为背景数据。 </w:t>
      </w:r>
    </w:p>
    <w:p w14:paraId="778F933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default" w:ascii="Times New Roman" w:hAnsi="Times New Roman" w:eastAsia="宋体" w:cs="Times New Roman"/>
          <w:spacing w:val="1"/>
          <w:position w:val="17"/>
          <w:sz w:val="24"/>
          <w:szCs w:val="24"/>
          <w:lang w:val="en-US" w:eastAsia="zh-CN"/>
        </w:rPr>
      </w:pPr>
      <w:r>
        <w:rPr>
          <w:rFonts w:hint="default" w:ascii="Times New Roman" w:hAnsi="Times New Roman" w:eastAsia="宋体" w:cs="Times New Roman"/>
          <w:spacing w:val="1"/>
          <w:position w:val="17"/>
          <w:sz w:val="24"/>
          <w:szCs w:val="24"/>
          <w:lang w:val="en-US" w:eastAsia="zh-CN"/>
        </w:rPr>
        <w:t>b</w:t>
      </w:r>
      <w:r>
        <w:rPr>
          <w:rFonts w:hint="eastAsia" w:ascii="Times New Roman" w:hAnsi="Times New Roman" w:eastAsia="宋体" w:cs="Times New Roman"/>
          <w:spacing w:val="1"/>
          <w:position w:val="17"/>
          <w:sz w:val="24"/>
          <w:szCs w:val="24"/>
          <w:lang w:val="en-US" w:eastAsia="zh-CN"/>
        </w:rPr>
        <w:t xml:space="preserve">）完整性：背景数据集均收集齐全，背景数据清单的输入与输出流信息完整，企业生产设备等背景数据根据制定的取舍规则舍弃。 </w:t>
      </w:r>
    </w:p>
    <w:p w14:paraId="734EFDE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lang w:val="en-US" w:eastAsia="zh-CN"/>
        </w:rPr>
      </w:pPr>
      <w:r>
        <w:rPr>
          <w:rFonts w:hint="default" w:ascii="Times New Roman" w:hAnsi="Times New Roman" w:eastAsia="宋体" w:cs="Times New Roman"/>
          <w:spacing w:val="1"/>
          <w:position w:val="17"/>
          <w:sz w:val="24"/>
          <w:szCs w:val="24"/>
          <w:lang w:val="en-US" w:eastAsia="zh-CN"/>
        </w:rPr>
        <w:t>c</w:t>
      </w:r>
      <w:r>
        <w:rPr>
          <w:rFonts w:hint="eastAsia" w:ascii="Times New Roman" w:hAnsi="Times New Roman" w:eastAsia="宋体" w:cs="Times New Roman"/>
          <w:spacing w:val="1"/>
          <w:position w:val="17"/>
          <w:sz w:val="24"/>
          <w:szCs w:val="24"/>
          <w:lang w:val="en-US" w:eastAsia="zh-CN"/>
        </w:rPr>
        <w:t>）一致性：本机构对同类产品背景数据的选择保持一致，当背景数据更新时，本报告也应更新。</w:t>
      </w:r>
    </w:p>
    <w:p w14:paraId="29D5F3AB">
      <w:pPr>
        <w:keepNext w:val="0"/>
        <w:keepLines w:val="0"/>
        <w:pageBreakBefore w:val="0"/>
        <w:widowControl/>
        <w:kinsoku w:val="0"/>
        <w:wordWrap/>
        <w:overflowPunct/>
        <w:topLinePunct w:val="0"/>
        <w:autoSpaceDE w:val="0"/>
        <w:autoSpaceDN w:val="0"/>
        <w:bidi w:val="0"/>
        <w:adjustRightInd w:val="0"/>
        <w:snapToGrid w:val="0"/>
        <w:spacing w:before="6" w:after="0" w:afterLines="30" w:line="360" w:lineRule="auto"/>
        <w:ind w:left="0"/>
        <w:jc w:val="both"/>
        <w:textAlignment w:val="baseline"/>
        <w:outlineLvl w:val="2"/>
        <w:rPr>
          <w:rFonts w:hint="default" w:ascii="Times New Roman" w:hAnsi="Times New Roman" w:eastAsia="Times New Roman" w:cs="Times New Roman"/>
          <w:b w:val="0"/>
          <w:bCs w:val="0"/>
          <w:snapToGrid w:val="0"/>
          <w:color w:val="000000"/>
          <w:spacing w:val="-1"/>
          <w:kern w:val="0"/>
          <w:sz w:val="24"/>
          <w:szCs w:val="24"/>
          <w:lang w:val="en-US" w:eastAsia="zh-CN"/>
        </w:rPr>
      </w:pPr>
      <w:r>
        <w:rPr>
          <w:rFonts w:hint="eastAsia" w:ascii="Times New Roman" w:hAnsi="Times New Roman" w:eastAsia="Times New Roman" w:cs="Times New Roman"/>
          <w:b w:val="0"/>
          <w:bCs w:val="0"/>
          <w:spacing w:val="-1"/>
          <w:sz w:val="24"/>
          <w:szCs w:val="24"/>
          <w:lang w:val="en-US" w:eastAsia="zh-CN"/>
        </w:rPr>
        <w:t>3.3.5</w:t>
      </w:r>
      <w:r>
        <w:rPr>
          <w:rFonts w:hint="default" w:ascii="Times New Roman" w:hAnsi="Times New Roman" w:eastAsia="Times New Roman" w:cs="Times New Roman"/>
          <w:b w:val="0"/>
          <w:bCs w:val="0"/>
          <w:spacing w:val="-1"/>
          <w:sz w:val="24"/>
          <w:szCs w:val="24"/>
          <w:lang w:val="en-US" w:eastAsia="zh-CN"/>
        </w:rPr>
        <w:t xml:space="preserve"> </w:t>
      </w:r>
      <w:r>
        <w:rPr>
          <w:rFonts w:hint="default" w:ascii="Times New Roman" w:hAnsi="Times New Roman" w:eastAsia="Times New Roman" w:cs="Times New Roman"/>
          <w:b w:val="0"/>
          <w:bCs w:val="0"/>
          <w:snapToGrid w:val="0"/>
          <w:color w:val="000000"/>
          <w:spacing w:val="-1"/>
          <w:kern w:val="0"/>
          <w:sz w:val="24"/>
          <w:szCs w:val="24"/>
          <w:lang w:val="en-US" w:eastAsia="zh-CN"/>
        </w:rPr>
        <w:t>影响评价</w:t>
      </w:r>
    </w:p>
    <w:p w14:paraId="7305F1D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484" w:firstLineChars="200"/>
        <w:jc w:val="both"/>
        <w:textAlignment w:val="baseline"/>
        <w:rPr>
          <w:rFonts w:hint="default"/>
          <w:lang w:val="en-US" w:eastAsia="zh-CN"/>
        </w:rPr>
      </w:pPr>
      <w:r>
        <w:rPr>
          <w:rFonts w:hint="default" w:ascii="Times New Roman" w:hAnsi="Times New Roman" w:eastAsia="宋体" w:cs="Times New Roman"/>
          <w:snapToGrid w:val="0"/>
          <w:color w:val="000000"/>
          <w:spacing w:val="1"/>
          <w:kern w:val="0"/>
          <w:position w:val="17"/>
          <w:sz w:val="24"/>
          <w:szCs w:val="24"/>
          <w:lang w:val="en-US" w:eastAsia="zh-CN"/>
        </w:rPr>
        <w:t xml:space="preserve">采用ReCiPe midpoint(H) </w:t>
      </w:r>
      <w:r>
        <w:rPr>
          <w:rFonts w:hint="eastAsia" w:ascii="Times New Roman" w:hAnsi="Times New Roman" w:eastAsia="宋体" w:cs="Times New Roman"/>
          <w:snapToGrid w:val="0"/>
          <w:color w:val="000000"/>
          <w:spacing w:val="1"/>
          <w:kern w:val="0"/>
          <w:position w:val="17"/>
          <w:sz w:val="24"/>
          <w:szCs w:val="24"/>
          <w:lang w:val="en-US" w:eastAsia="zh-CN"/>
        </w:rPr>
        <w:t>V1.04</w:t>
      </w:r>
      <w:r>
        <w:rPr>
          <w:rFonts w:hint="default" w:ascii="Times New Roman" w:hAnsi="Times New Roman" w:eastAsia="宋体" w:cs="Times New Roman"/>
          <w:snapToGrid w:val="0"/>
          <w:color w:val="000000"/>
          <w:spacing w:val="1"/>
          <w:kern w:val="0"/>
          <w:position w:val="17"/>
          <w:sz w:val="24"/>
          <w:szCs w:val="24"/>
          <w:lang w:val="en-US" w:eastAsia="zh-CN"/>
        </w:rPr>
        <w:t>方法体系对产品生命周期清单进行环境影响评价，产品碳足迹仅选取“全球变暖”环境影响指标进行分析，借助SimaPro软件计算功能单位产品的全球变暖指标值（即产品碳足迹）。</w:t>
      </w:r>
    </w:p>
    <w:p w14:paraId="34DF36DA">
      <w:pPr>
        <w:keepNext w:val="0"/>
        <w:keepLines w:val="0"/>
        <w:pageBreakBefore w:val="0"/>
        <w:widowControl/>
        <w:kinsoku w:val="0"/>
        <w:wordWrap/>
        <w:overflowPunct/>
        <w:topLinePunct w:val="0"/>
        <w:autoSpaceDE w:val="0"/>
        <w:autoSpaceDN w:val="0"/>
        <w:bidi w:val="0"/>
        <w:adjustRightInd w:val="0"/>
        <w:snapToGrid w:val="0"/>
        <w:spacing w:before="6" w:after="0" w:afterLines="30" w:line="360" w:lineRule="auto"/>
        <w:ind w:left="0"/>
        <w:jc w:val="both"/>
        <w:textAlignment w:val="baseline"/>
        <w:outlineLvl w:val="2"/>
        <w:rPr>
          <w:rFonts w:hint="eastAsia" w:ascii="Times New Roman" w:hAnsi="Times New Roman" w:eastAsia="Times New Roman" w:cs="Times New Roman"/>
          <w:b w:val="0"/>
          <w:bCs w:val="0"/>
          <w:spacing w:val="-1"/>
          <w:sz w:val="24"/>
          <w:szCs w:val="24"/>
          <w:lang w:val="en-US" w:eastAsia="zh-CN"/>
        </w:rPr>
      </w:pPr>
      <w:r>
        <w:rPr>
          <w:rFonts w:hint="eastAsia" w:ascii="Times New Roman" w:hAnsi="Times New Roman" w:eastAsia="Times New Roman" w:cs="Times New Roman"/>
          <w:b w:val="0"/>
          <w:bCs w:val="0"/>
          <w:spacing w:val="-1"/>
          <w:sz w:val="24"/>
          <w:szCs w:val="24"/>
          <w:lang w:val="en-US" w:eastAsia="zh-CN"/>
        </w:rPr>
        <w:t>3.3.6结果解释</w:t>
      </w:r>
    </w:p>
    <w:p w14:paraId="3F0E538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napToGrid w:val="0"/>
          <w:color w:val="000000"/>
          <w:spacing w:val="1"/>
          <w:kern w:val="0"/>
          <w:position w:val="17"/>
          <w:sz w:val="24"/>
          <w:szCs w:val="24"/>
          <w:highlight w:val="none"/>
          <w:lang w:val="en-US" w:eastAsia="zh-CN"/>
        </w:rPr>
        <w:t>浙江奥德华科技股份有限公司</w:t>
      </w:r>
      <w:r>
        <w:rPr>
          <w:rFonts w:hint="eastAsia" w:ascii="Times New Roman" w:hAnsi="Times New Roman" w:eastAsia="宋体" w:cs="Times New Roman"/>
          <w:spacing w:val="1"/>
          <w:position w:val="17"/>
          <w:sz w:val="24"/>
          <w:szCs w:val="24"/>
          <w:lang w:val="en-US" w:eastAsia="zh-CN"/>
        </w:rPr>
        <w:t>生产的</w:t>
      </w:r>
      <w:r>
        <w:rPr>
          <w:rFonts w:hint="eastAsia" w:ascii="Times New Roman" w:hAnsi="Times New Roman" w:eastAsia="宋体" w:cs="Times New Roman"/>
          <w:snapToGrid w:val="0"/>
          <w:color w:val="000000"/>
          <w:spacing w:val="1"/>
          <w:kern w:val="0"/>
          <w:position w:val="17"/>
          <w:sz w:val="24"/>
          <w:szCs w:val="24"/>
          <w:lang w:val="en-US" w:eastAsia="zh-CN"/>
        </w:rPr>
        <w:t>截止阀</w:t>
      </w:r>
      <w:r>
        <w:rPr>
          <w:rFonts w:hint="eastAsia" w:ascii="Times New Roman" w:hAnsi="Times New Roman" w:eastAsia="宋体" w:cs="Times New Roman"/>
          <w:spacing w:val="1"/>
          <w:position w:val="17"/>
          <w:sz w:val="24"/>
          <w:szCs w:val="24"/>
          <w:lang w:val="en-US" w:eastAsia="zh-CN"/>
        </w:rPr>
        <w:t>，从</w:t>
      </w:r>
      <w:r>
        <w:rPr>
          <w:rFonts w:hint="eastAsia" w:ascii="Times New Roman" w:hAnsi="Times New Roman" w:eastAsia="宋体" w:cs="Times New Roman"/>
          <w:spacing w:val="1"/>
          <w:position w:val="17"/>
          <w:sz w:val="24"/>
          <w:szCs w:val="24"/>
          <w:u w:val="single"/>
          <w:lang w:val="en-US" w:eastAsia="zh-CN"/>
        </w:rPr>
        <w:t>原料获取</w:t>
      </w:r>
      <w:r>
        <w:rPr>
          <w:rFonts w:hint="eastAsia" w:ascii="Times New Roman" w:hAnsi="Times New Roman" w:eastAsia="宋体" w:cs="Times New Roman"/>
          <w:spacing w:val="1"/>
          <w:position w:val="17"/>
          <w:sz w:val="24"/>
          <w:szCs w:val="24"/>
          <w:lang w:val="en-US" w:eastAsia="zh-CN"/>
        </w:rPr>
        <w:t>到</w:t>
      </w:r>
      <w:r>
        <w:rPr>
          <w:rFonts w:hint="eastAsia" w:ascii="Times New Roman" w:hAnsi="Times New Roman" w:eastAsia="宋体" w:cs="Times New Roman"/>
          <w:spacing w:val="1"/>
          <w:position w:val="17"/>
          <w:sz w:val="24"/>
          <w:szCs w:val="24"/>
          <w:u w:val="single"/>
          <w:lang w:val="en-US" w:eastAsia="zh-CN"/>
        </w:rPr>
        <w:t>产品生产</w:t>
      </w:r>
      <w:r>
        <w:rPr>
          <w:rFonts w:hint="eastAsia" w:ascii="Times New Roman" w:hAnsi="Times New Roman" w:eastAsia="宋体" w:cs="Times New Roman"/>
          <w:spacing w:val="1"/>
          <w:position w:val="17"/>
          <w:sz w:val="24"/>
          <w:szCs w:val="24"/>
          <w:u w:val="none"/>
          <w:lang w:val="en-US" w:eastAsia="zh-CN"/>
        </w:rPr>
        <w:t>阶段的</w:t>
      </w:r>
      <w:r>
        <w:rPr>
          <w:rFonts w:hint="eastAsia" w:ascii="Times New Roman" w:hAnsi="Times New Roman" w:eastAsia="宋体" w:cs="Times New Roman"/>
          <w:spacing w:val="1"/>
          <w:position w:val="17"/>
          <w:sz w:val="24"/>
          <w:szCs w:val="24"/>
          <w:lang w:val="en-US" w:eastAsia="zh-CN"/>
        </w:rPr>
        <w:t>生命周期碳足迹为</w:t>
      </w:r>
      <w:r>
        <w:rPr>
          <w:rFonts w:hint="eastAsia" w:ascii="Times New Roman" w:hAnsi="Times New Roman" w:eastAsia="宋体" w:cs="Times New Roman"/>
          <w:spacing w:val="1"/>
          <w:position w:val="17"/>
          <w:sz w:val="24"/>
          <w:szCs w:val="24"/>
          <w:u w:val="single"/>
          <w:lang w:val="en-US" w:eastAsia="zh-CN"/>
        </w:rPr>
        <w:t xml:space="preserve"> 2.90 </w:t>
      </w:r>
      <w:r>
        <w:rPr>
          <w:rFonts w:hint="eastAsia" w:ascii="Times New Roman" w:hAnsi="Times New Roman" w:eastAsia="宋体" w:cs="Times New Roman"/>
          <w:spacing w:val="1"/>
          <w:position w:val="17"/>
          <w:sz w:val="24"/>
          <w:szCs w:val="24"/>
          <w:lang w:val="en-US" w:eastAsia="zh-CN"/>
        </w:rPr>
        <w:t>kgCO</w:t>
      </w:r>
      <w:r>
        <w:rPr>
          <w:rFonts w:hint="eastAsia" w:ascii="Times New Roman" w:hAnsi="Times New Roman" w:eastAsia="宋体" w:cs="Times New Roman"/>
          <w:spacing w:val="1"/>
          <w:position w:val="17"/>
          <w:sz w:val="24"/>
          <w:szCs w:val="24"/>
          <w:vertAlign w:val="subscript"/>
          <w:lang w:val="en-US" w:eastAsia="zh-CN"/>
        </w:rPr>
        <w:t>2</w:t>
      </w:r>
      <w:r>
        <w:rPr>
          <w:rFonts w:hint="eastAsia" w:ascii="Times New Roman" w:hAnsi="Times New Roman" w:eastAsia="宋体" w:cs="Times New Roman"/>
          <w:spacing w:val="1"/>
          <w:position w:val="17"/>
          <w:sz w:val="24"/>
          <w:szCs w:val="24"/>
          <w:lang w:val="en-US" w:eastAsia="zh-CN"/>
        </w:rPr>
        <w:t>eq.。各生命周期阶段的温室气体排放情况如表10和图10所示。</w:t>
      </w:r>
    </w:p>
    <w:p w14:paraId="46FF6A83">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表10  截止阀产品生命周期各阶段碳排放情况</w:t>
      </w:r>
    </w:p>
    <w:p w14:paraId="11C15459">
      <w:pPr>
        <w:pStyle w:val="2"/>
        <w:jc w:val="center"/>
        <w:rPr>
          <w:rFonts w:hint="eastAsia"/>
          <w:lang w:val="en-US" w:eastAsia="zh-CN"/>
        </w:rPr>
      </w:pPr>
      <w:r>
        <w:drawing>
          <wp:inline distT="0" distB="0" distL="114300" distR="114300">
            <wp:extent cx="5292090" cy="2626360"/>
            <wp:effectExtent l="0" t="0" r="11430" b="1016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16"/>
                    <a:stretch>
                      <a:fillRect/>
                    </a:stretch>
                  </pic:blipFill>
                  <pic:spPr>
                    <a:xfrm>
                      <a:off x="0" y="0"/>
                      <a:ext cx="5292090" cy="2626360"/>
                    </a:xfrm>
                    <a:prstGeom prst="rect">
                      <a:avLst/>
                    </a:prstGeom>
                    <a:noFill/>
                    <a:ln>
                      <a:noFill/>
                    </a:ln>
                  </pic:spPr>
                </pic:pic>
              </a:graphicData>
            </a:graphic>
          </wp:inline>
        </w:drawing>
      </w:r>
    </w:p>
    <w:p w14:paraId="32A43DA1">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pPr>
      <w:r>
        <w:drawing>
          <wp:inline distT="0" distB="0" distL="114300" distR="114300">
            <wp:extent cx="5290820" cy="2294890"/>
            <wp:effectExtent l="0" t="0" r="12700" b="6350"/>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pic:cNvPicPr>
                  </pic:nvPicPr>
                  <pic:blipFill>
                    <a:blip r:embed="rId15"/>
                    <a:stretch>
                      <a:fillRect/>
                    </a:stretch>
                  </pic:blipFill>
                  <pic:spPr>
                    <a:xfrm>
                      <a:off x="0" y="0"/>
                      <a:ext cx="5290820" cy="2294890"/>
                    </a:xfrm>
                    <a:prstGeom prst="rect">
                      <a:avLst/>
                    </a:prstGeom>
                    <a:noFill/>
                    <a:ln>
                      <a:noFill/>
                    </a:ln>
                  </pic:spPr>
                </pic:pic>
              </a:graphicData>
            </a:graphic>
          </wp:inline>
        </w:drawing>
      </w:r>
    </w:p>
    <w:p w14:paraId="5F46781A">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 xml:space="preserve">图10  </w:t>
      </w:r>
      <w:r>
        <w:rPr>
          <w:rFonts w:hint="eastAsia" w:ascii="Times New Roman" w:hAnsi="Times New Roman" w:eastAsia="宋体" w:cs="Times New Roman"/>
          <w:snapToGrid w:val="0"/>
          <w:color w:val="000000"/>
          <w:spacing w:val="1"/>
          <w:kern w:val="0"/>
          <w:position w:val="17"/>
          <w:sz w:val="24"/>
          <w:szCs w:val="24"/>
          <w:lang w:val="en-US" w:eastAsia="zh-CN"/>
        </w:rPr>
        <w:t>截止阀</w:t>
      </w:r>
      <w:r>
        <w:rPr>
          <w:rFonts w:hint="eastAsia" w:ascii="Times New Roman" w:hAnsi="Times New Roman" w:eastAsia="宋体" w:cs="Times New Roman"/>
          <w:spacing w:val="1"/>
          <w:position w:val="17"/>
          <w:sz w:val="24"/>
          <w:szCs w:val="24"/>
          <w:lang w:val="en-US" w:eastAsia="zh-CN"/>
        </w:rPr>
        <w:t>产品</w:t>
      </w:r>
      <w:r>
        <w:rPr>
          <w:rFonts w:hint="default" w:ascii="Times New Roman" w:hAnsi="Times New Roman" w:eastAsia="宋体" w:cs="Times New Roman"/>
          <w:snapToGrid w:val="0"/>
          <w:color w:val="000000"/>
          <w:spacing w:val="1"/>
          <w:kern w:val="0"/>
          <w:position w:val="17"/>
          <w:sz w:val="24"/>
          <w:szCs w:val="24"/>
          <w:lang w:val="en-US" w:eastAsia="zh-CN"/>
        </w:rPr>
        <w:t>各生命周期阶段对碳足迹的贡献比例</w:t>
      </w:r>
    </w:p>
    <w:p w14:paraId="5F9B6D04">
      <w:pPr>
        <w:spacing w:before="180" w:line="227" w:lineRule="auto"/>
        <w:ind w:left="61"/>
        <w:outlineLvl w:val="0"/>
        <w:rPr>
          <w:rFonts w:ascii="宋体" w:hAnsi="宋体" w:eastAsia="宋体" w:cs="宋体"/>
          <w:sz w:val="35"/>
          <w:szCs w:val="35"/>
        </w:rPr>
      </w:pPr>
      <w:r>
        <w:rPr>
          <w:rFonts w:ascii="宋体" w:hAnsi="宋体" w:eastAsia="宋体" w:cs="宋体"/>
          <w:spacing w:val="7"/>
          <w:sz w:val="35"/>
          <w:szCs w:val="35"/>
          <w14:textOutline w14:w="6537" w14:cap="sq" w14:cmpd="sng">
            <w14:solidFill>
              <w14:srgbClr w14:val="000000"/>
            </w14:solidFill>
            <w14:prstDash w14:val="solid"/>
            <w14:bevel/>
          </w14:textOutline>
        </w:rPr>
        <w:t>四、标准中涉及专利情</w:t>
      </w:r>
      <w:r>
        <w:rPr>
          <w:rFonts w:ascii="宋体" w:hAnsi="宋体" w:eastAsia="宋体" w:cs="宋体"/>
          <w:spacing w:val="6"/>
          <w:sz w:val="35"/>
          <w:szCs w:val="35"/>
          <w14:textOutline w14:w="6537" w14:cap="sq" w14:cmpd="sng">
            <w14:solidFill>
              <w14:srgbClr w14:val="000000"/>
            </w14:solidFill>
            <w14:prstDash w14:val="solid"/>
            <w14:bevel/>
          </w14:textOutline>
        </w:rPr>
        <w:t>况</w:t>
      </w:r>
    </w:p>
    <w:p w14:paraId="09700A6F">
      <w:pPr>
        <w:spacing w:line="380" w:lineRule="auto"/>
        <w:rPr>
          <w:rFonts w:ascii="Arial"/>
          <w:sz w:val="21"/>
        </w:rPr>
      </w:pPr>
    </w:p>
    <w:p w14:paraId="215A26FB">
      <w:pPr>
        <w:spacing w:before="91" w:line="221" w:lineRule="auto"/>
        <w:ind w:left="588"/>
        <w:rPr>
          <w:rFonts w:ascii="宋体" w:hAnsi="宋体" w:eastAsia="宋体" w:cs="宋体"/>
          <w:sz w:val="24"/>
          <w:szCs w:val="24"/>
        </w:rPr>
      </w:pPr>
      <w:r>
        <w:rPr>
          <w:rFonts w:ascii="宋体" w:hAnsi="宋体" w:eastAsia="宋体" w:cs="宋体"/>
          <w:spacing w:val="-4"/>
          <w:sz w:val="24"/>
          <w:szCs w:val="24"/>
        </w:rPr>
        <w:t>不</w:t>
      </w:r>
      <w:r>
        <w:rPr>
          <w:rFonts w:ascii="宋体" w:hAnsi="宋体" w:eastAsia="宋体" w:cs="宋体"/>
          <w:spacing w:val="-2"/>
          <w:sz w:val="24"/>
          <w:szCs w:val="24"/>
        </w:rPr>
        <w:t>涉及专利。</w:t>
      </w:r>
    </w:p>
    <w:p w14:paraId="577E51A3">
      <w:pPr>
        <w:spacing w:line="371" w:lineRule="auto"/>
        <w:rPr>
          <w:rFonts w:ascii="Arial"/>
          <w:sz w:val="21"/>
        </w:rPr>
      </w:pPr>
    </w:p>
    <w:p w14:paraId="766C31FD">
      <w:pPr>
        <w:spacing w:before="113" w:line="235" w:lineRule="auto"/>
        <w:ind w:left="33"/>
        <w:outlineLvl w:val="0"/>
        <w:rPr>
          <w:rFonts w:ascii="宋体" w:hAnsi="宋体" w:eastAsia="宋体" w:cs="宋体"/>
          <w:sz w:val="35"/>
          <w:szCs w:val="35"/>
        </w:rPr>
      </w:pPr>
      <w:r>
        <w:rPr>
          <w:rFonts w:ascii="宋体" w:hAnsi="宋体" w:eastAsia="宋体" w:cs="宋体"/>
          <w:spacing w:val="14"/>
          <w:sz w:val="35"/>
          <w:szCs w:val="35"/>
          <w14:textOutline w14:w="6537" w14:cap="sq" w14:cmpd="sng">
            <w14:solidFill>
              <w14:srgbClr w14:val="000000"/>
            </w14:solidFill>
            <w14:prstDash w14:val="solid"/>
            <w14:bevel/>
          </w14:textOutline>
        </w:rPr>
        <w:t>五</w:t>
      </w:r>
      <w:r>
        <w:rPr>
          <w:rFonts w:ascii="宋体" w:hAnsi="宋体" w:eastAsia="宋体" w:cs="宋体"/>
          <w:spacing w:val="10"/>
          <w:sz w:val="35"/>
          <w:szCs w:val="35"/>
          <w14:textOutline w14:w="6537" w14:cap="sq" w14:cmpd="sng">
            <w14:solidFill>
              <w14:srgbClr w14:val="000000"/>
            </w14:solidFill>
            <w14:prstDash w14:val="solid"/>
            <w14:bevel/>
          </w14:textOutline>
        </w:rPr>
        <w:t>、产业化情况、推广应用论证和预期达到的经济效</w:t>
      </w:r>
    </w:p>
    <w:p w14:paraId="1CEBA721">
      <w:pPr>
        <w:spacing w:before="178" w:line="225" w:lineRule="auto"/>
        <w:ind w:left="35"/>
        <w:rPr>
          <w:rFonts w:ascii="宋体" w:hAnsi="宋体" w:eastAsia="宋体" w:cs="宋体"/>
          <w:sz w:val="35"/>
          <w:szCs w:val="35"/>
        </w:rPr>
      </w:pPr>
      <w:r>
        <w:rPr>
          <w:rFonts w:ascii="宋体" w:hAnsi="宋体" w:eastAsia="宋体" w:cs="宋体"/>
          <w:spacing w:val="6"/>
          <w:sz w:val="35"/>
          <w:szCs w:val="35"/>
          <w14:textOutline w14:w="6537" w14:cap="sq" w14:cmpd="sng">
            <w14:solidFill>
              <w14:srgbClr w14:val="000000"/>
            </w14:solidFill>
            <w14:prstDash w14:val="solid"/>
            <w14:bevel/>
          </w14:textOutline>
        </w:rPr>
        <w:t>果等情</w:t>
      </w:r>
      <w:r>
        <w:rPr>
          <w:rFonts w:ascii="宋体" w:hAnsi="宋体" w:eastAsia="宋体" w:cs="宋体"/>
          <w:spacing w:val="5"/>
          <w:sz w:val="35"/>
          <w:szCs w:val="35"/>
          <w14:textOutline w14:w="6537" w14:cap="sq" w14:cmpd="sng">
            <w14:solidFill>
              <w14:srgbClr w14:val="000000"/>
            </w14:solidFill>
            <w14:prstDash w14:val="solid"/>
            <w14:bevel/>
          </w14:textOutline>
        </w:rPr>
        <w:t>况</w:t>
      </w:r>
    </w:p>
    <w:p w14:paraId="7EF6AD6D">
      <w:pPr>
        <w:spacing w:line="388" w:lineRule="auto"/>
        <w:rPr>
          <w:rFonts w:ascii="Arial"/>
          <w:sz w:val="21"/>
        </w:rPr>
      </w:pPr>
    </w:p>
    <w:p w14:paraId="32CC2FD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中国作为全球最大阀门生产国，2025年市场规模预计达171亿美元，占全球35%份额。产业链优势显著，长三角、珠三角、环渤海三大产业集群贡献全国60%以上产量。进出口方面，2023年中国阀门出口额213.3亿美元，进口额91.7亿美元，贸易顺差显著，但高端产品仍依赖进口，国产化率不足30%。</w:t>
      </w:r>
    </w:p>
    <w:p w14:paraId="1ECC5F8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水处理是阀门应用的民生基础领域，涵盖城镇供水、污水处理、水利工程等场景。随着我国城镇化进程加快，配水系统、污水处理厂等基础设施建设对蝶阀等阀门产品产生巨大需求。2023年我国节水阀门市场规模约112亿元，同比增长6.67%，预计未来在“双碳”目标推动下，节水阀门市场将持续扩容。智能水务阀门在污水处理标准升级的推动下，年增长率显著，成为行业重要增长点。</w:t>
      </w:r>
    </w:p>
    <w:p w14:paraId="2929172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在全球应对气候变化的背景下，中国提出的"碳达峰、碳中和"目标为阀门行业带来了深刻的变革机遇。阀门作为工业管道系统中的关键控制部件，其生产和使用过程中的碳排放管理对于实现"双碳"目标具有重要战略意义。</w:t>
      </w:r>
    </w:p>
    <w:p w14:paraId="0A8076C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根据生态环境部发布的《产品碳足迹核算标准编制工作指引》，到2025年国家层面将出台50个左右重点产品碳足迹核算规则和标准，到2030年将出台200个左右重点产品碳足迹核算规则和标准。这一政策导向为阀门行业碳足迹管理提供了明确的路线图。</w:t>
      </w:r>
    </w:p>
    <w:p w14:paraId="01807A7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阀门行业进行碳足迹管理不仅有助于企业满足日益严格的环保法规要求，更是提升产品国际竞争力的关键。随着欧盟碳边境调节机制（CBAM）等国际碳贸易壁垒的逐步实施，拥有完整碳足迹数据的产品将更容易进入国际市场。同时，碳足迹管理也是企业实现绿色转型、挖掘节能降碳潜力的重要工具。</w:t>
      </w:r>
    </w:p>
    <w:p w14:paraId="7E91EFC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通过碳足迹核算，精准识别阀门生产流程中的高能耗与高碳排环节，如熔炼、热处理、特定机加工序等。量化分析通过设备更新（如高效电磁阀）、工艺优化（如超临界二氧化碳铸造）、材料替换（如轻量化设计、可再生材料）和新产品开发（如零泄漏智能阀）所带来的能源成本节约、原材料成本下降及维护成本降低。</w:t>
      </w:r>
    </w:p>
    <w:p w14:paraId="32C14CCE">
      <w:pPr>
        <w:spacing w:before="91" w:line="411" w:lineRule="auto"/>
        <w:ind w:right="239"/>
        <w:rPr>
          <w:rFonts w:ascii="宋体" w:hAnsi="宋体" w:eastAsia="宋体" w:cs="宋体"/>
          <w:sz w:val="35"/>
          <w:szCs w:val="35"/>
        </w:rPr>
      </w:pPr>
      <w:r>
        <w:rPr>
          <w:rFonts w:ascii="宋体" w:hAnsi="宋体" w:eastAsia="宋体" w:cs="宋体"/>
          <w:spacing w:val="12"/>
          <w:sz w:val="35"/>
          <w:szCs w:val="35"/>
          <w14:textOutline w14:w="6537" w14:cap="sq" w14:cmpd="sng">
            <w14:solidFill>
              <w14:srgbClr w14:val="000000"/>
            </w14:solidFill>
            <w14:prstDash w14:val="solid"/>
            <w14:bevel/>
          </w14:textOutline>
        </w:rPr>
        <w:t>六、采用国际标准和国外先进标准情况，与国际、国外</w:t>
      </w:r>
      <w:r>
        <w:rPr>
          <w:rFonts w:ascii="宋体" w:hAnsi="宋体" w:eastAsia="宋体" w:cs="宋体"/>
          <w:spacing w:val="10"/>
          <w:sz w:val="35"/>
          <w:szCs w:val="35"/>
          <w14:textOutline w14:w="6537" w14:cap="sq" w14:cmpd="sng">
            <w14:solidFill>
              <w14:srgbClr w14:val="000000"/>
            </w14:solidFill>
            <w14:prstDash w14:val="solid"/>
            <w14:bevel/>
          </w14:textOutline>
        </w:rPr>
        <w:t>同类标准水平的对比情况，国内外关键指标对比分</w:t>
      </w:r>
      <w:r>
        <w:rPr>
          <w:rFonts w:ascii="宋体" w:hAnsi="宋体" w:eastAsia="宋体" w:cs="宋体"/>
          <w:sz w:val="35"/>
          <w:szCs w:val="35"/>
        </w:rPr>
        <w:t xml:space="preserve"> </w:t>
      </w:r>
      <w:r>
        <w:rPr>
          <w:rFonts w:ascii="宋体" w:hAnsi="宋体" w:eastAsia="宋体" w:cs="宋体"/>
          <w:spacing w:val="20"/>
          <w:sz w:val="35"/>
          <w:szCs w:val="35"/>
          <w14:textOutline w14:w="6537" w14:cap="sq" w14:cmpd="sng">
            <w14:solidFill>
              <w14:srgbClr w14:val="000000"/>
            </w14:solidFill>
            <w14:prstDash w14:val="solid"/>
            <w14:bevel/>
          </w14:textOutline>
        </w:rPr>
        <w:t>析</w:t>
      </w:r>
      <w:r>
        <w:rPr>
          <w:rFonts w:ascii="宋体" w:hAnsi="宋体" w:eastAsia="宋体" w:cs="宋体"/>
          <w:spacing w:val="11"/>
          <w:sz w:val="35"/>
          <w:szCs w:val="35"/>
          <w14:textOutline w14:w="6537" w14:cap="sq" w14:cmpd="sng">
            <w14:solidFill>
              <w14:srgbClr w14:val="000000"/>
            </w14:solidFill>
            <w14:prstDash w14:val="solid"/>
            <w14:bevel/>
          </w14:textOutline>
        </w:rPr>
        <w:t>或</w:t>
      </w:r>
      <w:r>
        <w:rPr>
          <w:rFonts w:ascii="宋体" w:hAnsi="宋体" w:eastAsia="宋体" w:cs="宋体"/>
          <w:spacing w:val="10"/>
          <w:sz w:val="35"/>
          <w:szCs w:val="35"/>
          <w14:textOutline w14:w="6537" w14:cap="sq" w14:cmpd="sng">
            <w14:solidFill>
              <w14:srgbClr w14:val="000000"/>
            </w14:solidFill>
            <w14:prstDash w14:val="solid"/>
            <w14:bevel/>
          </w14:textOutline>
        </w:rPr>
        <w:t>与测试的国外样品、样机的相关数据对比情况</w:t>
      </w:r>
    </w:p>
    <w:p w14:paraId="23A2E41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Times New Roman" w:hAnsi="Times New Roman" w:eastAsia="宋体" w:cs="Times New Roman"/>
          <w:spacing w:val="1"/>
          <w:position w:val="17"/>
          <w:sz w:val="24"/>
          <w:szCs w:val="24"/>
          <w:lang w:val="en-US" w:eastAsia="zh-CN"/>
        </w:rPr>
      </w:pPr>
      <w:r>
        <w:rPr>
          <w:rFonts w:hint="eastAsia" w:ascii="Times New Roman" w:hAnsi="Times New Roman" w:eastAsia="宋体" w:cs="Times New Roman"/>
          <w:spacing w:val="1"/>
          <w:position w:val="17"/>
          <w:sz w:val="24"/>
          <w:szCs w:val="24"/>
          <w:lang w:val="en-US" w:eastAsia="zh-CN"/>
        </w:rPr>
        <w:t>国际目前碳足迹采用的标准为PAS2050《商品和服务在生命周期内的温室气体排放评价规范》、《温室气体核算体系》（2011）和ISO 14067《产品碳足迹 量化和通报的要求和指南》。目前，国内出台的产品碳足迹相关的标准包括GB/T 24067-2024《温室气体 产品碳足迹 量化要求和指南》、GB/T 32150-2015《工业企业温室气体排放核算和报告通则》等标准，建材行业也在开展相关研究工作，包括玻璃、水泥、建筑阀门、阀门、陶瓷、板材等产品的相关研究。</w:t>
      </w:r>
    </w:p>
    <w:p w14:paraId="67BBAD43">
      <w:pPr>
        <w:spacing w:before="180" w:line="236" w:lineRule="auto"/>
        <w:ind w:left="26"/>
        <w:outlineLvl w:val="0"/>
        <w:rPr>
          <w:rFonts w:ascii="宋体" w:hAnsi="宋体" w:eastAsia="宋体" w:cs="宋体"/>
          <w:sz w:val="35"/>
          <w:szCs w:val="35"/>
        </w:rPr>
      </w:pPr>
      <w:r>
        <w:rPr>
          <w:rFonts w:ascii="宋体" w:hAnsi="宋体" w:eastAsia="宋体" w:cs="宋体"/>
          <w:spacing w:val="20"/>
          <w:sz w:val="35"/>
          <w:szCs w:val="35"/>
          <w14:textOutline w14:w="6537" w14:cap="sq" w14:cmpd="sng">
            <w14:solidFill>
              <w14:srgbClr w14:val="000000"/>
            </w14:solidFill>
            <w14:prstDash w14:val="solid"/>
            <w14:bevel/>
          </w14:textOutline>
        </w:rPr>
        <w:t>七</w:t>
      </w:r>
      <w:r>
        <w:rPr>
          <w:rFonts w:ascii="宋体" w:hAnsi="宋体" w:eastAsia="宋体" w:cs="宋体"/>
          <w:spacing w:val="13"/>
          <w:sz w:val="35"/>
          <w:szCs w:val="35"/>
          <w14:textOutline w14:w="6537" w14:cap="sq" w14:cmpd="sng">
            <w14:solidFill>
              <w14:srgbClr w14:val="000000"/>
            </w14:solidFill>
            <w14:prstDash w14:val="solid"/>
            <w14:bevel/>
          </w14:textOutline>
        </w:rPr>
        <w:t>、</w:t>
      </w:r>
      <w:r>
        <w:rPr>
          <w:rFonts w:ascii="宋体" w:hAnsi="宋体" w:eastAsia="宋体" w:cs="宋体"/>
          <w:spacing w:val="10"/>
          <w:sz w:val="35"/>
          <w:szCs w:val="35"/>
          <w14:textOutline w14:w="6537" w14:cap="sq" w14:cmpd="sng">
            <w14:solidFill>
              <w14:srgbClr w14:val="000000"/>
            </w14:solidFill>
            <w14:prstDash w14:val="solid"/>
            <w14:bevel/>
          </w14:textOutline>
        </w:rPr>
        <w:t>与现行相关法律、法规、规章及相关标准，特别</w:t>
      </w:r>
    </w:p>
    <w:p w14:paraId="630DF0CD">
      <w:pPr>
        <w:spacing w:before="177" w:line="225" w:lineRule="auto"/>
        <w:ind w:left="33"/>
        <w:rPr>
          <w:rFonts w:ascii="宋体" w:hAnsi="宋体" w:eastAsia="宋体" w:cs="宋体"/>
          <w:sz w:val="35"/>
          <w:szCs w:val="35"/>
        </w:rPr>
      </w:pPr>
      <w:r>
        <w:rPr>
          <w:rFonts w:ascii="宋体" w:hAnsi="宋体" w:eastAsia="宋体" w:cs="宋体"/>
          <w:spacing w:val="11"/>
          <w:sz w:val="35"/>
          <w:szCs w:val="35"/>
          <w14:textOutline w14:w="6537" w14:cap="sq" w14:cmpd="sng">
            <w14:solidFill>
              <w14:srgbClr w14:val="000000"/>
            </w14:solidFill>
            <w14:prstDash w14:val="solid"/>
            <w14:bevel/>
          </w14:textOutline>
        </w:rPr>
        <w:t>是</w:t>
      </w:r>
      <w:r>
        <w:rPr>
          <w:rFonts w:ascii="宋体" w:hAnsi="宋体" w:eastAsia="宋体" w:cs="宋体"/>
          <w:spacing w:val="9"/>
          <w:sz w:val="35"/>
          <w:szCs w:val="35"/>
          <w14:textOutline w14:w="6537" w14:cap="sq" w14:cmpd="sng">
            <w14:solidFill>
              <w14:srgbClr w14:val="000000"/>
            </w14:solidFill>
            <w14:prstDash w14:val="solid"/>
            <w14:bevel/>
          </w14:textOutline>
        </w:rPr>
        <w:t>强制性标准的协调性</w:t>
      </w:r>
    </w:p>
    <w:p w14:paraId="0DCFB08F">
      <w:pPr>
        <w:spacing w:line="383" w:lineRule="auto"/>
        <w:rPr>
          <w:rFonts w:ascii="Arial"/>
          <w:sz w:val="21"/>
        </w:rPr>
      </w:pPr>
    </w:p>
    <w:p w14:paraId="0AE9BA26">
      <w:pPr>
        <w:spacing w:before="92" w:line="418" w:lineRule="auto"/>
        <w:ind w:left="23" w:right="76" w:firstLine="561"/>
        <w:rPr>
          <w:rFonts w:ascii="宋体" w:hAnsi="宋体" w:eastAsia="宋体" w:cs="宋体"/>
          <w:sz w:val="28"/>
          <w:szCs w:val="28"/>
        </w:rPr>
      </w:pPr>
      <w:r>
        <w:rPr>
          <w:rFonts w:ascii="宋体" w:hAnsi="宋体" w:eastAsia="宋体" w:cs="宋体"/>
          <w:spacing w:val="-6"/>
          <w:sz w:val="24"/>
          <w:szCs w:val="24"/>
        </w:rPr>
        <w:t>本标准符合我国</w:t>
      </w:r>
      <w:r>
        <w:rPr>
          <w:rFonts w:ascii="宋体" w:hAnsi="宋体" w:eastAsia="宋体" w:cs="宋体"/>
          <w:spacing w:val="-3"/>
          <w:sz w:val="24"/>
          <w:szCs w:val="24"/>
        </w:rPr>
        <w:t>有关法律、法规的要求，并与国家相关政策、规</w:t>
      </w:r>
      <w:r>
        <w:rPr>
          <w:rFonts w:ascii="宋体" w:hAnsi="宋体" w:eastAsia="宋体" w:cs="宋体"/>
          <w:spacing w:val="-2"/>
          <w:sz w:val="24"/>
          <w:szCs w:val="24"/>
        </w:rPr>
        <w:t>划等保</w:t>
      </w:r>
      <w:r>
        <w:rPr>
          <w:rFonts w:ascii="宋体" w:hAnsi="宋体" w:eastAsia="宋体" w:cs="宋体"/>
          <w:spacing w:val="-1"/>
          <w:sz w:val="24"/>
          <w:szCs w:val="24"/>
        </w:rPr>
        <w:t>持一致。</w:t>
      </w:r>
    </w:p>
    <w:p w14:paraId="1C96CF22">
      <w:pPr>
        <w:spacing w:before="180" w:line="225" w:lineRule="auto"/>
        <w:ind w:left="33"/>
        <w:outlineLvl w:val="0"/>
        <w:rPr>
          <w:rFonts w:ascii="宋体" w:hAnsi="宋体" w:eastAsia="宋体" w:cs="宋体"/>
          <w:sz w:val="35"/>
          <w:szCs w:val="35"/>
        </w:rPr>
      </w:pPr>
      <w:r>
        <w:rPr>
          <w:rFonts w:ascii="宋体" w:hAnsi="宋体" w:eastAsia="宋体" w:cs="宋体"/>
          <w:spacing w:val="11"/>
          <w:sz w:val="35"/>
          <w:szCs w:val="35"/>
          <w14:textOutline w14:w="6537" w14:cap="sq" w14:cmpd="sng">
            <w14:solidFill>
              <w14:srgbClr w14:val="000000"/>
            </w14:solidFill>
            <w14:prstDash w14:val="solid"/>
            <w14:bevel/>
          </w14:textOutline>
        </w:rPr>
        <w:t>八</w:t>
      </w:r>
      <w:r>
        <w:rPr>
          <w:rFonts w:ascii="宋体" w:hAnsi="宋体" w:eastAsia="宋体" w:cs="宋体"/>
          <w:spacing w:val="10"/>
          <w:sz w:val="35"/>
          <w:szCs w:val="35"/>
          <w14:textOutline w14:w="6537" w14:cap="sq" w14:cmpd="sng">
            <w14:solidFill>
              <w14:srgbClr w14:val="000000"/>
            </w14:solidFill>
            <w14:prstDash w14:val="solid"/>
            <w14:bevel/>
          </w14:textOutline>
        </w:rPr>
        <w:t>、重大分歧意见的处理经过和依据</w:t>
      </w:r>
    </w:p>
    <w:p w14:paraId="3DB83776">
      <w:pPr>
        <w:spacing w:line="385" w:lineRule="auto"/>
        <w:rPr>
          <w:rFonts w:ascii="Arial"/>
          <w:sz w:val="21"/>
        </w:rPr>
      </w:pPr>
    </w:p>
    <w:p w14:paraId="5E8C760C">
      <w:pPr>
        <w:spacing w:before="91" w:line="219" w:lineRule="auto"/>
        <w:ind w:left="585"/>
        <w:rPr>
          <w:rFonts w:ascii="宋体" w:hAnsi="宋体" w:eastAsia="宋体" w:cs="宋体"/>
          <w:sz w:val="24"/>
          <w:szCs w:val="24"/>
        </w:rPr>
      </w:pPr>
      <w:r>
        <w:rPr>
          <w:rFonts w:ascii="宋体" w:hAnsi="宋体" w:eastAsia="宋体" w:cs="宋体"/>
          <w:spacing w:val="-1"/>
          <w:sz w:val="24"/>
          <w:szCs w:val="24"/>
        </w:rPr>
        <w:t>本标准编制过程中未出现</w:t>
      </w:r>
      <w:r>
        <w:rPr>
          <w:rFonts w:ascii="宋体" w:hAnsi="宋体" w:eastAsia="宋体" w:cs="宋体"/>
          <w:sz w:val="24"/>
          <w:szCs w:val="24"/>
        </w:rPr>
        <w:t>重大分歧意见。</w:t>
      </w:r>
    </w:p>
    <w:p w14:paraId="2FC8D749">
      <w:pPr>
        <w:spacing w:line="374" w:lineRule="auto"/>
        <w:rPr>
          <w:rFonts w:ascii="Arial"/>
          <w:sz w:val="21"/>
        </w:rPr>
      </w:pPr>
    </w:p>
    <w:p w14:paraId="7CD4A083">
      <w:pPr>
        <w:spacing w:before="115" w:line="227" w:lineRule="auto"/>
        <w:ind w:left="36"/>
        <w:outlineLvl w:val="0"/>
        <w:rPr>
          <w:rFonts w:ascii="宋体" w:hAnsi="宋体" w:eastAsia="宋体" w:cs="宋体"/>
          <w:sz w:val="35"/>
          <w:szCs w:val="35"/>
        </w:rPr>
      </w:pPr>
      <w:r>
        <w:rPr>
          <w:rFonts w:ascii="宋体" w:hAnsi="宋体" w:eastAsia="宋体" w:cs="宋体"/>
          <w:spacing w:val="9"/>
          <w:sz w:val="35"/>
          <w:szCs w:val="35"/>
          <w14:textOutline w14:w="6537" w14:cap="sq" w14:cmpd="sng">
            <w14:solidFill>
              <w14:srgbClr w14:val="000000"/>
            </w14:solidFill>
            <w14:prstDash w14:val="solid"/>
            <w14:bevel/>
          </w14:textOutline>
        </w:rPr>
        <w:t>九、标准性质的建议说明</w:t>
      </w:r>
    </w:p>
    <w:p w14:paraId="40BAA047">
      <w:pPr>
        <w:spacing w:line="381" w:lineRule="auto"/>
        <w:rPr>
          <w:rFonts w:ascii="Arial"/>
          <w:sz w:val="21"/>
        </w:rPr>
      </w:pPr>
    </w:p>
    <w:p w14:paraId="38633831">
      <w:pPr>
        <w:spacing w:before="140" w:line="225" w:lineRule="auto"/>
        <w:ind w:left="29" w:firstLine="476" w:firstLineChars="200"/>
        <w:outlineLvl w:val="0"/>
        <w:rPr>
          <w:rFonts w:ascii="宋体" w:hAnsi="宋体" w:eastAsia="宋体" w:cs="宋体"/>
          <w:sz w:val="24"/>
          <w:szCs w:val="24"/>
        </w:rPr>
      </w:pPr>
      <w:r>
        <w:rPr>
          <w:rFonts w:ascii="宋体" w:hAnsi="宋体" w:eastAsia="宋体" w:cs="宋体"/>
          <w:spacing w:val="-1"/>
          <w:sz w:val="24"/>
          <w:szCs w:val="24"/>
        </w:rPr>
        <w:t>建议本标准作为协会推荐性标准发</w:t>
      </w:r>
      <w:r>
        <w:rPr>
          <w:rFonts w:ascii="宋体" w:hAnsi="宋体" w:eastAsia="宋体" w:cs="宋体"/>
          <w:sz w:val="24"/>
          <w:szCs w:val="24"/>
        </w:rPr>
        <w:t>布实施。</w:t>
      </w:r>
    </w:p>
    <w:p w14:paraId="6DBECFAD">
      <w:pPr>
        <w:pStyle w:val="11"/>
      </w:pPr>
    </w:p>
    <w:p w14:paraId="09B9A9E7">
      <w:pPr>
        <w:spacing w:before="140" w:line="225" w:lineRule="auto"/>
        <w:ind w:left="29"/>
        <w:outlineLvl w:val="0"/>
        <w:rPr>
          <w:rFonts w:ascii="宋体" w:hAnsi="宋体" w:eastAsia="宋体" w:cs="宋体"/>
          <w:sz w:val="35"/>
          <w:szCs w:val="35"/>
        </w:rPr>
      </w:pPr>
      <w:r>
        <w:rPr>
          <w:rFonts w:ascii="宋体" w:hAnsi="宋体" w:eastAsia="宋体" w:cs="宋体"/>
          <w:spacing w:val="13"/>
          <w:sz w:val="35"/>
          <w:szCs w:val="35"/>
          <w14:textOutline w14:w="6537" w14:cap="sq" w14:cmpd="sng">
            <w14:solidFill>
              <w14:srgbClr w14:val="000000"/>
            </w14:solidFill>
            <w14:prstDash w14:val="solid"/>
            <w14:bevel/>
          </w14:textOutline>
        </w:rPr>
        <w:t>十</w:t>
      </w:r>
      <w:r>
        <w:rPr>
          <w:rFonts w:ascii="宋体" w:hAnsi="宋体" w:eastAsia="宋体" w:cs="宋体"/>
          <w:spacing w:val="10"/>
          <w:sz w:val="35"/>
          <w:szCs w:val="35"/>
          <w14:textOutline w14:w="6537" w14:cap="sq" w14:cmpd="sng">
            <w14:solidFill>
              <w14:srgbClr w14:val="000000"/>
            </w14:solidFill>
            <w14:prstDash w14:val="solid"/>
            <w14:bevel/>
          </w14:textOutline>
        </w:rPr>
        <w:t>、贯彻标准的要求和措施建议</w:t>
      </w:r>
      <w:r>
        <w:rPr>
          <w:rFonts w:ascii="宋体" w:hAnsi="宋体" w:eastAsia="宋体" w:cs="宋体"/>
          <w:spacing w:val="10"/>
          <w:sz w:val="35"/>
          <w:szCs w:val="35"/>
        </w:rPr>
        <w:t xml:space="preserve"> </w:t>
      </w:r>
      <w:r>
        <w:rPr>
          <w:rFonts w:ascii="宋体" w:hAnsi="宋体" w:eastAsia="宋体" w:cs="宋体"/>
          <w:spacing w:val="10"/>
          <w:sz w:val="35"/>
          <w:szCs w:val="35"/>
          <w14:textOutline w14:w="6537" w14:cap="sq" w14:cmpd="sng">
            <w14:solidFill>
              <w14:srgbClr w14:val="000000"/>
            </w14:solidFill>
            <w14:prstDash w14:val="solid"/>
            <w14:bevel/>
          </w14:textOutline>
        </w:rPr>
        <w:t>(包括组织措施、技</w:t>
      </w:r>
    </w:p>
    <w:p w14:paraId="1662A51A">
      <w:pPr>
        <w:spacing w:before="196" w:line="225" w:lineRule="auto"/>
        <w:ind w:left="31"/>
        <w:rPr>
          <w:rFonts w:ascii="宋体" w:hAnsi="宋体" w:eastAsia="宋体" w:cs="宋体"/>
          <w:sz w:val="35"/>
          <w:szCs w:val="35"/>
        </w:rPr>
      </w:pPr>
      <w:r>
        <w:rPr>
          <w:rFonts w:ascii="宋体" w:hAnsi="宋体" w:eastAsia="宋体" w:cs="宋体"/>
          <w:spacing w:val="16"/>
          <w:sz w:val="35"/>
          <w:szCs w:val="35"/>
          <w14:textOutline w14:w="6537" w14:cap="sq" w14:cmpd="sng">
            <w14:solidFill>
              <w14:srgbClr w14:val="000000"/>
            </w14:solidFill>
            <w14:prstDash w14:val="solid"/>
            <w14:bevel/>
          </w14:textOutline>
        </w:rPr>
        <w:t>术</w:t>
      </w:r>
      <w:r>
        <w:rPr>
          <w:rFonts w:ascii="宋体" w:hAnsi="宋体" w:eastAsia="宋体" w:cs="宋体"/>
          <w:spacing w:val="9"/>
          <w:sz w:val="35"/>
          <w:szCs w:val="35"/>
          <w14:textOutline w14:w="6537" w14:cap="sq" w14:cmpd="sng">
            <w14:solidFill>
              <w14:srgbClr w14:val="000000"/>
            </w14:solidFill>
            <w14:prstDash w14:val="solid"/>
            <w14:bevel/>
          </w14:textOutline>
        </w:rPr>
        <w:t>措施、过度办法、实施日期等)</w:t>
      </w:r>
    </w:p>
    <w:p w14:paraId="4E8B8BAB">
      <w:pPr>
        <w:spacing w:line="384" w:lineRule="auto"/>
        <w:rPr>
          <w:rFonts w:ascii="Arial"/>
          <w:sz w:val="21"/>
        </w:rPr>
      </w:pPr>
    </w:p>
    <w:p w14:paraId="07B75E24">
      <w:pPr>
        <w:spacing w:before="91" w:line="418" w:lineRule="auto"/>
        <w:ind w:left="23" w:right="13" w:firstLine="561"/>
        <w:rPr>
          <w:rFonts w:ascii="宋体" w:hAnsi="宋体" w:eastAsia="宋体" w:cs="宋体"/>
          <w:sz w:val="28"/>
          <w:szCs w:val="28"/>
        </w:rPr>
      </w:pPr>
      <w:r>
        <w:rPr>
          <w:rFonts w:ascii="宋体" w:hAnsi="宋体" w:eastAsia="宋体" w:cs="宋体"/>
          <w:spacing w:val="12"/>
          <w:sz w:val="24"/>
          <w:szCs w:val="24"/>
        </w:rPr>
        <w:t>本标</w:t>
      </w:r>
      <w:r>
        <w:rPr>
          <w:rFonts w:ascii="宋体" w:hAnsi="宋体" w:eastAsia="宋体" w:cs="宋体"/>
          <w:spacing w:val="7"/>
          <w:sz w:val="24"/>
          <w:szCs w:val="24"/>
        </w:rPr>
        <w:t>准</w:t>
      </w:r>
      <w:r>
        <w:rPr>
          <w:rFonts w:ascii="宋体" w:hAnsi="宋体" w:eastAsia="宋体" w:cs="宋体"/>
          <w:spacing w:val="6"/>
          <w:sz w:val="24"/>
          <w:szCs w:val="24"/>
        </w:rPr>
        <w:t>由中国建筑材料联合会与中国技术经济学会归口并负责</w:t>
      </w:r>
      <w:r>
        <w:rPr>
          <w:rFonts w:ascii="宋体" w:hAnsi="宋体" w:eastAsia="宋体" w:cs="宋体"/>
          <w:sz w:val="24"/>
          <w:szCs w:val="24"/>
        </w:rPr>
        <w:t xml:space="preserve"> </w:t>
      </w:r>
      <w:r>
        <w:rPr>
          <w:rFonts w:ascii="宋体" w:hAnsi="宋体" w:eastAsia="宋体" w:cs="宋体"/>
          <w:spacing w:val="-2"/>
          <w:sz w:val="24"/>
          <w:szCs w:val="24"/>
        </w:rPr>
        <w:t>解释和</w:t>
      </w:r>
      <w:r>
        <w:rPr>
          <w:rFonts w:ascii="宋体" w:hAnsi="宋体" w:eastAsia="宋体" w:cs="宋体"/>
          <w:spacing w:val="-1"/>
          <w:sz w:val="24"/>
          <w:szCs w:val="24"/>
        </w:rPr>
        <w:t>修订。</w:t>
      </w:r>
    </w:p>
    <w:p w14:paraId="5E617B54">
      <w:pPr>
        <w:spacing w:before="179" w:line="226" w:lineRule="auto"/>
        <w:ind w:left="29"/>
        <w:outlineLvl w:val="0"/>
        <w:rPr>
          <w:rFonts w:ascii="宋体" w:hAnsi="宋体" w:eastAsia="宋体" w:cs="宋体"/>
          <w:sz w:val="35"/>
          <w:szCs w:val="35"/>
        </w:rPr>
      </w:pPr>
      <w:r>
        <w:rPr>
          <w:rFonts w:ascii="宋体" w:hAnsi="宋体" w:eastAsia="宋体" w:cs="宋体"/>
          <w:spacing w:val="11"/>
          <w:sz w:val="35"/>
          <w:szCs w:val="35"/>
          <w14:textOutline w14:w="6537" w14:cap="sq" w14:cmpd="sng">
            <w14:solidFill>
              <w14:srgbClr w14:val="000000"/>
            </w14:solidFill>
            <w14:prstDash w14:val="solid"/>
            <w14:bevel/>
          </w14:textOutline>
        </w:rPr>
        <w:t>十</w:t>
      </w:r>
      <w:r>
        <w:rPr>
          <w:rFonts w:ascii="宋体" w:hAnsi="宋体" w:eastAsia="宋体" w:cs="宋体"/>
          <w:spacing w:val="10"/>
          <w:sz w:val="35"/>
          <w:szCs w:val="35"/>
          <w14:textOutline w14:w="6537" w14:cap="sq" w14:cmpd="sng">
            <w14:solidFill>
              <w14:srgbClr w14:val="000000"/>
            </w14:solidFill>
            <w14:prstDash w14:val="solid"/>
            <w14:bevel/>
          </w14:textOutline>
        </w:rPr>
        <w:t>一、废止现行相关标准的建议</w:t>
      </w:r>
    </w:p>
    <w:p w14:paraId="5B354992">
      <w:pPr>
        <w:spacing w:line="281" w:lineRule="auto"/>
        <w:rPr>
          <w:rFonts w:ascii="Arial"/>
          <w:sz w:val="21"/>
        </w:rPr>
      </w:pPr>
    </w:p>
    <w:p w14:paraId="08D3C192">
      <w:pPr>
        <w:spacing w:line="282" w:lineRule="auto"/>
        <w:rPr>
          <w:rFonts w:ascii="Arial"/>
          <w:sz w:val="21"/>
        </w:rPr>
      </w:pPr>
    </w:p>
    <w:p w14:paraId="1B3AED92">
      <w:pPr>
        <w:spacing w:before="92" w:line="141" w:lineRule="exact"/>
        <w:ind w:left="892"/>
        <w:rPr>
          <w:rFonts w:ascii="宋体" w:hAnsi="宋体" w:eastAsia="宋体" w:cs="宋体"/>
          <w:sz w:val="28"/>
          <w:szCs w:val="28"/>
        </w:rPr>
      </w:pPr>
      <w:r>
        <w:pict>
          <v:shape id="_x0000_s1027" o:spid="_x0000_s1027" o:spt="202" type="#_x0000_t202" style="position:absolute;left:0pt;margin-left:28.3pt;margin-top:-5.45pt;height:18.75pt;width:15.4pt;z-index:251661312;mso-width-relative:page;mso-height-relative:page;" filled="f" stroked="f" coordsize="21600,21600">
            <v:path/>
            <v:fill on="f" focussize="0,0"/>
            <v:stroke on="f"/>
            <v:imagedata o:title=""/>
            <o:lock v:ext="edit" aspectratio="f"/>
            <v:textbox inset="0mm,0mm,0mm,0mm">
              <w:txbxContent>
                <w:p w14:paraId="07447E52">
                  <w:pPr>
                    <w:spacing w:before="19" w:line="221" w:lineRule="auto"/>
                    <w:ind w:left="20"/>
                    <w:rPr>
                      <w:rFonts w:ascii="宋体" w:hAnsi="宋体" w:eastAsia="宋体" w:cs="宋体"/>
                      <w:sz w:val="28"/>
                      <w:szCs w:val="28"/>
                    </w:rPr>
                  </w:pPr>
                  <w:r>
                    <w:rPr>
                      <w:rFonts w:ascii="宋体" w:hAnsi="宋体" w:eastAsia="宋体" w:cs="宋体"/>
                      <w:sz w:val="28"/>
                      <w:szCs w:val="28"/>
                    </w:rPr>
                    <w:t>无</w:t>
                  </w:r>
                </w:p>
              </w:txbxContent>
            </v:textbox>
          </v:shape>
        </w:pict>
      </w:r>
      <w:r>
        <w:rPr>
          <w:rFonts w:ascii="宋体" w:hAnsi="宋体" w:eastAsia="宋体" w:cs="宋体"/>
          <w:position w:val="1"/>
          <w:sz w:val="28"/>
          <w:szCs w:val="28"/>
        </w:rPr>
        <w:t>。</w:t>
      </w:r>
    </w:p>
    <w:p w14:paraId="7333DDB4">
      <w:pPr>
        <w:spacing w:line="383" w:lineRule="auto"/>
        <w:rPr>
          <w:rFonts w:ascii="Arial"/>
          <w:sz w:val="21"/>
        </w:rPr>
      </w:pPr>
    </w:p>
    <w:p w14:paraId="059B23A4">
      <w:pPr>
        <w:spacing w:before="115" w:line="226" w:lineRule="auto"/>
        <w:ind w:left="29"/>
        <w:outlineLvl w:val="0"/>
        <w:rPr>
          <w:rFonts w:ascii="宋体" w:hAnsi="宋体" w:eastAsia="宋体" w:cs="宋体"/>
          <w:sz w:val="35"/>
          <w:szCs w:val="35"/>
        </w:rPr>
      </w:pPr>
      <w:r>
        <w:rPr>
          <w:rFonts w:ascii="宋体" w:hAnsi="宋体" w:eastAsia="宋体" w:cs="宋体"/>
          <w:spacing w:val="10"/>
          <w:sz w:val="35"/>
          <w:szCs w:val="35"/>
          <w14:textOutline w14:w="6537" w14:cap="sq" w14:cmpd="sng">
            <w14:solidFill>
              <w14:srgbClr w14:val="000000"/>
            </w14:solidFill>
            <w14:prstDash w14:val="solid"/>
            <w14:bevel/>
          </w14:textOutline>
        </w:rPr>
        <w:t>十二、其他应予说明的事</w:t>
      </w:r>
      <w:r>
        <w:rPr>
          <w:rFonts w:ascii="宋体" w:hAnsi="宋体" w:eastAsia="宋体" w:cs="宋体"/>
          <w:spacing w:val="8"/>
          <w:sz w:val="35"/>
          <w:szCs w:val="35"/>
          <w14:textOutline w14:w="6537" w14:cap="sq" w14:cmpd="sng">
            <w14:solidFill>
              <w14:srgbClr w14:val="000000"/>
            </w14:solidFill>
            <w14:prstDash w14:val="solid"/>
            <w14:bevel/>
          </w14:textOutline>
        </w:rPr>
        <w:t>项</w:t>
      </w:r>
    </w:p>
    <w:p w14:paraId="38C67EC4">
      <w:pPr>
        <w:spacing w:line="281" w:lineRule="auto"/>
        <w:rPr>
          <w:rFonts w:ascii="Arial"/>
          <w:sz w:val="21"/>
        </w:rPr>
      </w:pPr>
    </w:p>
    <w:p w14:paraId="46727BE2">
      <w:pPr>
        <w:spacing w:line="282" w:lineRule="auto"/>
        <w:rPr>
          <w:rFonts w:ascii="Arial"/>
          <w:sz w:val="21"/>
        </w:rPr>
      </w:pPr>
    </w:p>
    <w:p w14:paraId="287A1E6C">
      <w:pPr>
        <w:spacing w:before="91" w:line="142" w:lineRule="exact"/>
        <w:ind w:left="892"/>
        <w:rPr>
          <w:rFonts w:ascii="宋体" w:hAnsi="宋体" w:eastAsia="宋体" w:cs="宋体"/>
          <w:sz w:val="28"/>
          <w:szCs w:val="28"/>
        </w:rPr>
      </w:pPr>
      <w:r>
        <w:pict>
          <v:shape id="_x0000_s1028" o:spid="_x0000_s1028" o:spt="202" type="#_x0000_t202" style="position:absolute;left:0pt;margin-left:28.3pt;margin-top:-5.45pt;height:18.75pt;width:15.4pt;z-index:251660288;mso-width-relative:page;mso-height-relative:page;" filled="f" stroked="f" coordsize="21600,21600">
            <v:path/>
            <v:fill on="f" focussize="0,0"/>
            <v:stroke on="f"/>
            <v:imagedata o:title=""/>
            <o:lock v:ext="edit" aspectratio="f"/>
            <v:textbox inset="0mm,0mm,0mm,0mm">
              <w:txbxContent>
                <w:p w14:paraId="3DF3665B">
                  <w:pPr>
                    <w:spacing w:before="19" w:line="221" w:lineRule="auto"/>
                    <w:ind w:left="20"/>
                    <w:rPr>
                      <w:rFonts w:ascii="宋体" w:hAnsi="宋体" w:eastAsia="宋体" w:cs="宋体"/>
                      <w:sz w:val="28"/>
                      <w:szCs w:val="28"/>
                    </w:rPr>
                  </w:pPr>
                  <w:r>
                    <w:rPr>
                      <w:rFonts w:ascii="宋体" w:hAnsi="宋体" w:eastAsia="宋体" w:cs="宋体"/>
                      <w:sz w:val="28"/>
                      <w:szCs w:val="28"/>
                    </w:rPr>
                    <w:t>无</w:t>
                  </w:r>
                </w:p>
              </w:txbxContent>
            </v:textbox>
          </v:shape>
        </w:pict>
      </w:r>
      <w:r>
        <w:rPr>
          <w:rFonts w:ascii="宋体" w:hAnsi="宋体" w:eastAsia="宋体" w:cs="宋体"/>
          <w:position w:val="1"/>
          <w:sz w:val="28"/>
          <w:szCs w:val="28"/>
        </w:rPr>
        <w:t>。</w:t>
      </w:r>
    </w:p>
    <w:sectPr>
      <w:footerReference r:id="rId6" w:type="default"/>
      <w:pgSz w:w="11906" w:h="16839"/>
      <w:pgMar w:top="1431" w:right="1785" w:bottom="926" w:left="1785" w:header="0" w:footer="740"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BD95F">
    <w:pPr>
      <w:spacing w:before="1" w:line="224" w:lineRule="auto"/>
      <w:ind w:left="3362"/>
      <w:rPr>
        <w:rFonts w:ascii="宋体" w:hAnsi="宋体" w:eastAsia="宋体" w:cs="宋体"/>
        <w:sz w:val="31"/>
        <w:szCs w:val="31"/>
      </w:rPr>
    </w:pPr>
    <w:r>
      <w:rPr>
        <w:sz w:val="3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D350A1">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CD350A1">
                    <w:pPr>
                      <w:pStyle w:val="11"/>
                    </w:pPr>
                    <w:r>
                      <w:fldChar w:fldCharType="begin"/>
                    </w:r>
                    <w:r>
                      <w:instrText xml:space="preserve"> PAGE  \* MERGEFORMAT </w:instrText>
                    </w:r>
                    <w:r>
                      <w:fldChar w:fldCharType="separate"/>
                    </w:r>
                    <w:r>
                      <w:t>1</w:t>
                    </w:r>
                    <w:r>
                      <w:fldChar w:fldCharType="end"/>
                    </w:r>
                  </w:p>
                </w:txbxContent>
              </v:textbox>
            </v:shape>
          </w:pict>
        </mc:Fallback>
      </mc:AlternateContent>
    </w:r>
    <w:r>
      <w:rPr>
        <w:rFonts w:ascii="宋体" w:hAnsi="宋体" w:eastAsia="宋体" w:cs="宋体"/>
        <w:spacing w:val="-18"/>
        <w:sz w:val="31"/>
        <w:szCs w:val="31"/>
        <w14:textOutline w14:w="5793" w14:cap="sq" w14:cmpd="sng">
          <w14:solidFill>
            <w14:srgbClr w14:val="000000"/>
          </w14:solidFill>
          <w14:prstDash w14:val="solid"/>
          <w14:bevel/>
        </w14:textOutline>
      </w:rPr>
      <w:t>202</w:t>
    </w:r>
    <w:r>
      <w:rPr>
        <w:rFonts w:hint="eastAsia" w:ascii="宋体" w:hAnsi="宋体" w:eastAsia="宋体" w:cs="宋体"/>
        <w:spacing w:val="-18"/>
        <w:sz w:val="31"/>
        <w:szCs w:val="31"/>
        <w:lang w:val="en-US" w:eastAsia="zh-CN"/>
        <w14:textOutline w14:w="5793" w14:cap="sq" w14:cmpd="sng">
          <w14:solidFill>
            <w14:srgbClr w14:val="000000"/>
          </w14:solidFill>
          <w14:prstDash w14:val="solid"/>
          <w14:bevel/>
        </w14:textOutline>
      </w:rPr>
      <w:t>6</w:t>
    </w:r>
    <w:r>
      <w:rPr>
        <w:rFonts w:ascii="宋体" w:hAnsi="宋体" w:eastAsia="宋体" w:cs="宋体"/>
        <w:spacing w:val="-18"/>
        <w:sz w:val="31"/>
        <w:szCs w:val="31"/>
      </w:rPr>
      <w:t xml:space="preserve"> </w:t>
    </w:r>
    <w:r>
      <w:rPr>
        <w:rFonts w:ascii="宋体" w:hAnsi="宋体" w:eastAsia="宋体" w:cs="宋体"/>
        <w:spacing w:val="-18"/>
        <w:sz w:val="31"/>
        <w:szCs w:val="31"/>
        <w14:textOutline w14:w="5793" w14:cap="sq" w14:cmpd="sng">
          <w14:solidFill>
            <w14:srgbClr w14:val="000000"/>
          </w14:solidFill>
          <w14:prstDash w14:val="solid"/>
          <w14:bevel/>
        </w14:textOutline>
      </w:rPr>
      <w:t>年</w:t>
    </w:r>
    <w:r>
      <w:rPr>
        <w:rFonts w:ascii="宋体" w:hAnsi="宋体" w:eastAsia="宋体" w:cs="宋体"/>
        <w:spacing w:val="-18"/>
        <w:sz w:val="31"/>
        <w:szCs w:val="31"/>
      </w:rPr>
      <w:t xml:space="preserve"> </w:t>
    </w:r>
    <w:r>
      <w:rPr>
        <w:rFonts w:hint="eastAsia" w:ascii="宋体" w:hAnsi="宋体" w:eastAsia="宋体" w:cs="宋体"/>
        <w:spacing w:val="-18"/>
        <w:sz w:val="31"/>
        <w:szCs w:val="31"/>
        <w:lang w:val="en-US" w:eastAsia="zh-CN"/>
        <w14:textOutline w14:w="5793" w14:cap="sq" w14:cmpd="sng">
          <w14:solidFill>
            <w14:srgbClr w14:val="000000"/>
          </w14:solidFill>
          <w14:prstDash w14:val="solid"/>
          <w14:bevel/>
        </w14:textOutline>
      </w:rPr>
      <w:t>1</w:t>
    </w:r>
    <w:r>
      <w:rPr>
        <w:rFonts w:ascii="宋体" w:hAnsi="宋体" w:eastAsia="宋体" w:cs="宋体"/>
        <w:spacing w:val="-18"/>
        <w:sz w:val="31"/>
        <w:szCs w:val="31"/>
      </w:rPr>
      <w:t xml:space="preserve"> </w:t>
    </w:r>
    <w:r>
      <w:rPr>
        <w:rFonts w:ascii="宋体" w:hAnsi="宋体" w:eastAsia="宋体" w:cs="宋体"/>
        <w:spacing w:val="-17"/>
        <w:sz w:val="31"/>
        <w:szCs w:val="31"/>
        <w14:textOutline w14:w="5793" w14:cap="sq" w14:cmpd="sng">
          <w14:solidFill>
            <w14:srgbClr w14:val="000000"/>
          </w14:solidFill>
          <w14:prstDash w14:val="solid"/>
          <w14:bevel/>
        </w14:textOutline>
      </w:rPr>
      <w:t>月</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AD63C">
    <w:pPr>
      <w:spacing w:line="194" w:lineRule="auto"/>
      <w:ind w:left="3966"/>
      <w:rPr>
        <w:rFonts w:hint="eastAsia" w:ascii="Times New Roman" w:hAnsi="Times New Roman" w:eastAsia="宋体" w:cs="Times New Roman"/>
        <w:sz w:val="20"/>
        <w:szCs w:val="20"/>
        <w:lang w:val="en-US" w:eastAsia="zh-CN"/>
      </w:rPr>
    </w:pPr>
    <w:r>
      <w:rPr>
        <w:rFonts w:hint="default"/>
        <w:sz w:val="20"/>
        <w:lang w:val="en-US"/>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435017">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1435017">
                    <w:pPr>
                      <w:pStyle w:val="11"/>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21"/>
      <w:suff w:val="nothing"/>
      <w:lvlText w:val="%1　"/>
      <w:lvlJc w:val="left"/>
      <w:rPr>
        <w:rFonts w:hint="eastAsia" w:ascii="黑体" w:hAnsi="Times New Roman" w:eastAsia="黑体" w:cs="Times New Roman"/>
        <w:b w:val="0"/>
        <w:i w:val="0"/>
        <w:color w:val="000000"/>
        <w:sz w:val="21"/>
        <w:szCs w:val="21"/>
      </w:rPr>
    </w:lvl>
    <w:lvl w:ilvl="1" w:tentative="0">
      <w:start w:val="1"/>
      <w:numFmt w:val="decimal"/>
      <w:pStyle w:val="22"/>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0"/>
      </w:pPr>
      <w:rPr>
        <w:rFonts w:hint="eastAsia" w:ascii="黑体" w:hAnsi="Times New Roman" w:eastAsia="黑体" w:cs="Times New Roman"/>
        <w:b w:val="0"/>
        <w:i w:val="0"/>
        <w:sz w:val="21"/>
      </w:rPr>
    </w:lvl>
    <w:lvl w:ilvl="3" w:tentative="0">
      <w:start w:val="1"/>
      <w:numFmt w:val="decimal"/>
      <w:suff w:val="nothing"/>
      <w:lvlText w:val="%1.%2.%3.%4　"/>
      <w:lvlJc w:val="left"/>
      <w:rPr>
        <w:rFonts w:hint="eastAsia" w:ascii="黑体" w:hAnsi="Times New Roman" w:eastAsia="黑体" w:cs="Times New Roman"/>
        <w:b w:val="0"/>
        <w:i w:val="0"/>
        <w:sz w:val="21"/>
      </w:rPr>
    </w:lvl>
    <w:lvl w:ilvl="4" w:tentative="0">
      <w:start w:val="1"/>
      <w:numFmt w:val="decimal"/>
      <w:suff w:val="nothing"/>
      <w:lvlText w:val="%1.%2.%3.%4.%5　"/>
      <w:lvlJc w:val="left"/>
      <w:rPr>
        <w:rFonts w:hint="eastAsia" w:ascii="黑体" w:hAnsi="Times New Roman" w:eastAsia="黑体" w:cs="Times New Roman"/>
        <w:b w:val="0"/>
        <w:i w:val="0"/>
        <w:sz w:val="21"/>
      </w:rPr>
    </w:lvl>
    <w:lvl w:ilvl="5" w:tentative="0">
      <w:start w:val="1"/>
      <w:numFmt w:val="decimal"/>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2MzNWM3YzAzMjk4NjQ0MzMyOTI1NTMxMjY0Y2FhYzUifQ=="/>
    <w:docVar w:name="KSO_WPS_MARK_KEY" w:val="613b9e65-b1ff-4799-9612-43d0d32e2740"/>
  </w:docVars>
  <w:rsids>
    <w:rsidRoot w:val="00000000"/>
    <w:rsid w:val="030E72CB"/>
    <w:rsid w:val="057C5921"/>
    <w:rsid w:val="069F09A5"/>
    <w:rsid w:val="07827705"/>
    <w:rsid w:val="078A2181"/>
    <w:rsid w:val="08FA1862"/>
    <w:rsid w:val="094B547F"/>
    <w:rsid w:val="0967225C"/>
    <w:rsid w:val="0B460AB5"/>
    <w:rsid w:val="0BF369B1"/>
    <w:rsid w:val="0C8E53E0"/>
    <w:rsid w:val="0D9D24E2"/>
    <w:rsid w:val="0FA7374C"/>
    <w:rsid w:val="129E2E6B"/>
    <w:rsid w:val="13C46918"/>
    <w:rsid w:val="14FA2500"/>
    <w:rsid w:val="16CD1290"/>
    <w:rsid w:val="1B0C1120"/>
    <w:rsid w:val="1B560B56"/>
    <w:rsid w:val="1DCD66DA"/>
    <w:rsid w:val="21A2532C"/>
    <w:rsid w:val="22122D4F"/>
    <w:rsid w:val="25841ED2"/>
    <w:rsid w:val="25B76183"/>
    <w:rsid w:val="2604287D"/>
    <w:rsid w:val="28312EF3"/>
    <w:rsid w:val="2C4B2398"/>
    <w:rsid w:val="2DAB3808"/>
    <w:rsid w:val="303F5DF3"/>
    <w:rsid w:val="318C7576"/>
    <w:rsid w:val="3277170D"/>
    <w:rsid w:val="34952A5F"/>
    <w:rsid w:val="358B6F41"/>
    <w:rsid w:val="3667350A"/>
    <w:rsid w:val="38873E08"/>
    <w:rsid w:val="39821610"/>
    <w:rsid w:val="3B0567AE"/>
    <w:rsid w:val="3B0C4680"/>
    <w:rsid w:val="4392527B"/>
    <w:rsid w:val="47484C91"/>
    <w:rsid w:val="48BD3906"/>
    <w:rsid w:val="4BFA0524"/>
    <w:rsid w:val="4C4D5E6A"/>
    <w:rsid w:val="50503790"/>
    <w:rsid w:val="53ED0E1F"/>
    <w:rsid w:val="53F817ED"/>
    <w:rsid w:val="56F64C5B"/>
    <w:rsid w:val="58E424C9"/>
    <w:rsid w:val="59045CB8"/>
    <w:rsid w:val="59B37AA1"/>
    <w:rsid w:val="5C9E0B72"/>
    <w:rsid w:val="5E151946"/>
    <w:rsid w:val="61722BDF"/>
    <w:rsid w:val="620F11E4"/>
    <w:rsid w:val="67451DED"/>
    <w:rsid w:val="67AA29A7"/>
    <w:rsid w:val="67FD69EA"/>
    <w:rsid w:val="6AE6019A"/>
    <w:rsid w:val="6C0D1BA5"/>
    <w:rsid w:val="6D1A237D"/>
    <w:rsid w:val="6DE24C48"/>
    <w:rsid w:val="6F800F2B"/>
    <w:rsid w:val="71901831"/>
    <w:rsid w:val="731109BF"/>
    <w:rsid w:val="73180D7C"/>
    <w:rsid w:val="73EC1C7A"/>
    <w:rsid w:val="75F757C5"/>
    <w:rsid w:val="76C27C57"/>
    <w:rsid w:val="78940C6A"/>
    <w:rsid w:val="78DE02FD"/>
    <w:rsid w:val="794B2E8D"/>
    <w:rsid w:val="7D1206C6"/>
    <w:rsid w:val="7D7121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4">
    <w:name w:val="heading 3"/>
    <w:basedOn w:val="1"/>
    <w:next w:val="1"/>
    <w:unhideWhenUsed/>
    <w:qFormat/>
    <w:uiPriority w:val="9"/>
    <w:pPr>
      <w:spacing w:before="240" w:after="240"/>
      <w:outlineLvl w:val="2"/>
    </w:pPr>
    <w:rPr>
      <w:rFonts w:ascii="Times New Roman" w:hAnsi="Times New Roman" w:eastAsia="仿宋_GB2312" w:cs="Times New Roman"/>
    </w:rPr>
  </w:style>
  <w:style w:type="paragraph" w:styleId="5">
    <w:name w:val="heading 4"/>
    <w:basedOn w:val="1"/>
    <w:next w:val="1"/>
    <w:unhideWhenUsed/>
    <w:qFormat/>
    <w:uiPriority w:val="0"/>
    <w:pPr>
      <w:outlineLvl w:val="3"/>
    </w:pPr>
    <w:rPr>
      <w:rFonts w:ascii="仿宋" w:hAnsi="仿宋" w:eastAsia="仿宋"/>
      <w:b/>
      <w:bCs/>
      <w:sz w:val="28"/>
      <w:szCs w:val="28"/>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next w:val="3"/>
    <w:semiHidden/>
    <w:qFormat/>
    <w:uiPriority w:val="0"/>
    <w:rPr>
      <w:rFonts w:ascii="Arial" w:hAnsi="Arial" w:eastAsia="Arial" w:cs="Arial"/>
      <w:sz w:val="21"/>
      <w:szCs w:val="21"/>
      <w:lang w:val="en-US" w:eastAsia="en-US" w:bidi="ar-SA"/>
    </w:rPr>
  </w:style>
  <w:style w:type="paragraph" w:styleId="3">
    <w:name w:val="Title"/>
    <w:basedOn w:val="1"/>
    <w:next w:val="1"/>
    <w:qFormat/>
    <w:uiPriority w:val="10"/>
    <w:pPr>
      <w:spacing w:before="240" w:after="60"/>
      <w:jc w:val="center"/>
      <w:outlineLvl w:val="0"/>
    </w:pPr>
    <w:rPr>
      <w:rFonts w:ascii="Arial" w:hAnsi="Arial"/>
      <w:b/>
      <w:sz w:val="32"/>
    </w:rPr>
  </w:style>
  <w:style w:type="paragraph" w:styleId="6">
    <w:name w:val="Normal Indent"/>
    <w:basedOn w:val="1"/>
    <w:next w:val="7"/>
    <w:qFormat/>
    <w:uiPriority w:val="0"/>
    <w:pPr>
      <w:spacing w:line="240" w:lineRule="auto"/>
      <w:ind w:firstLine="420" w:firstLineChars="200"/>
    </w:pPr>
    <w:rPr>
      <w:rFonts w:ascii="Times New Roman" w:hAnsi="Times New Roman"/>
      <w:szCs w:val="24"/>
    </w:rPr>
  </w:style>
  <w:style w:type="paragraph" w:customStyle="1" w:styleId="7">
    <w:name w:val="样式 正文文本 + 首行缩进:  2 字符"/>
    <w:basedOn w:val="2"/>
    <w:qFormat/>
    <w:uiPriority w:val="0"/>
    <w:pPr>
      <w:spacing w:line="480" w:lineRule="exact"/>
      <w:ind w:firstLine="480" w:firstLineChars="200"/>
    </w:pPr>
    <w:rPr>
      <w:rFonts w:ascii="宋体" w:hAnsi="宋体" w:cs="宋体"/>
      <w:sz w:val="24"/>
    </w:rPr>
  </w:style>
  <w:style w:type="paragraph" w:styleId="8">
    <w:name w:val="caption"/>
    <w:basedOn w:val="1"/>
    <w:next w:val="1"/>
    <w:semiHidden/>
    <w:unhideWhenUsed/>
    <w:qFormat/>
    <w:uiPriority w:val="35"/>
    <w:rPr>
      <w:rFonts w:ascii="Arial" w:hAnsi="Arial" w:eastAsia="黑体"/>
      <w:sz w:val="20"/>
    </w:rPr>
  </w:style>
  <w:style w:type="paragraph" w:styleId="9">
    <w:name w:val="annotation text"/>
    <w:basedOn w:val="1"/>
    <w:qFormat/>
    <w:uiPriority w:val="0"/>
    <w:pPr>
      <w:jc w:val="left"/>
    </w:pPr>
  </w:style>
  <w:style w:type="paragraph" w:styleId="10">
    <w:name w:val="Plain Text"/>
    <w:basedOn w:val="1"/>
    <w:semiHidden/>
    <w:unhideWhenUsed/>
    <w:qFormat/>
    <w:uiPriority w:val="99"/>
    <w:rPr>
      <w:rFonts w:ascii="宋体" w:hAnsi="Courier New"/>
    </w:rPr>
  </w:style>
  <w:style w:type="paragraph" w:styleId="11">
    <w:name w:val="footer"/>
    <w:basedOn w:val="1"/>
    <w:unhideWhenUsed/>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Normal (Web)"/>
    <w:basedOn w:val="1"/>
    <w:qFormat/>
    <w:uiPriority w:val="0"/>
    <w:rPr>
      <w:sz w:val="24"/>
    </w:rPr>
  </w:style>
  <w:style w:type="table" w:styleId="15">
    <w:name w:val="Table Grid"/>
    <w:basedOn w:val="14"/>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7">
    <w:name w:val="Strong"/>
    <w:basedOn w:val="16"/>
    <w:qFormat/>
    <w:uiPriority w:val="0"/>
    <w:rPr>
      <w:b/>
    </w:rPr>
  </w:style>
  <w:style w:type="character" w:styleId="18">
    <w:name w:val="Hyperlink"/>
    <w:basedOn w:val="16"/>
    <w:qFormat/>
    <w:uiPriority w:val="0"/>
    <w:rPr>
      <w:color w:val="0000FF"/>
      <w:u w:val="single"/>
    </w:rPr>
  </w:style>
  <w:style w:type="table" w:customStyle="1" w:styleId="19">
    <w:name w:val="Table Normal"/>
    <w:semiHidden/>
    <w:unhideWhenUsed/>
    <w:qFormat/>
    <w:uiPriority w:val="0"/>
    <w:tblPr>
      <w:tblCellMar>
        <w:top w:w="0" w:type="dxa"/>
        <w:left w:w="0" w:type="dxa"/>
        <w:bottom w:w="0" w:type="dxa"/>
        <w:right w:w="0" w:type="dxa"/>
      </w:tblCellMar>
    </w:tblPr>
  </w:style>
  <w:style w:type="paragraph" w:customStyle="1" w:styleId="2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1">
    <w:name w:val="章标题"/>
    <w:next w:val="20"/>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22">
    <w:name w:val="一级条标题"/>
    <w:next w:val="20"/>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styleId="23">
    <w:name w:val="List Paragraph"/>
    <w:basedOn w:val="1"/>
    <w:qFormat/>
    <w:uiPriority w:val="34"/>
    <w:pPr>
      <w:ind w:firstLine="420" w:firstLineChars="200"/>
    </w:pPr>
    <w:rPr>
      <w:rFonts w:asciiTheme="minorHAnsi" w:hAnsiTheme="minorHAnsi" w:eastAsiaTheme="minorEastAsia" w:cstheme="minorBidi"/>
      <w:szCs w:val="22"/>
    </w:rPr>
  </w:style>
  <w:style w:type="paragraph" w:customStyle="1" w:styleId="24">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chart" Target="charts/chart3.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D:\LCA\2022LCA\2022-053&#36828;&#22823;&#38400;&#38376;--2023.3.31&#12289;2023.5.8\==3.29&#20462;&#25913;-&#36828;&#22823;&#35745;&#31639;&#32467;&#26524;==\3.29&#36828;&#22823;-CFP.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LCA\2022LCA\2022-053&#36828;&#22823;&#38400;&#38376;--2023.3.31&#12289;2023.5.8\==3.29&#20462;&#25913;-&#36828;&#22823;&#35745;&#31639;&#32467;&#26524;==\3.29&#36828;&#22823;-CFP.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LCA\2022LCA\2022-053&#36828;&#22823;&#38400;&#38376;--2023.3.31&#12289;2023.5.8\==3.29&#20462;&#25913;-&#36828;&#22823;&#35745;&#31639;&#32467;&#26524;==\3.29&#36828;&#22823;-CFP.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spPr>
            <a:solidFill>
              <a:schemeClr val="accent1"/>
            </a:solidFill>
            <a:ln>
              <a:noFill/>
            </a:ln>
            <a:effectLst/>
          </c:spPr>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'[3.29远大-CFP.xlsx]Sheet1 (2)'!$J$2:$J$20</c:f>
              <c:strCache>
                <c:ptCount val="19"/>
                <c:pt idx="0">
                  <c:v>闸阀</c:v>
                </c:pt>
                <c:pt idx="1">
                  <c:v>生铁</c:v>
                </c:pt>
                <c:pt idx="2">
                  <c:v>废钢</c:v>
                </c:pt>
                <c:pt idx="3">
                  <c:v>硅铁</c:v>
                </c:pt>
                <c:pt idx="4">
                  <c:v>锰铁</c:v>
                </c:pt>
                <c:pt idx="5">
                  <c:v>闸板包胶/QT450</c:v>
                </c:pt>
                <c:pt idx="6">
                  <c:v>闸板包胶/EPDM</c:v>
                </c:pt>
                <c:pt idx="7">
                  <c:v>阀杆20Cr13</c:v>
                </c:pt>
                <c:pt idx="8">
                  <c:v>阀杆螺母20Cr13</c:v>
                </c:pt>
                <c:pt idx="9">
                  <c:v>中口螺栓35#</c:v>
                </c:pt>
                <c:pt idx="10">
                  <c:v>蒙古砂</c:v>
                </c:pt>
                <c:pt idx="11">
                  <c:v>铸元素</c:v>
                </c:pt>
                <c:pt idx="12">
                  <c:v>环保覆膜砂</c:v>
                </c:pt>
                <c:pt idx="13">
                  <c:v>塑粉/环氧树脂粉末涂料</c:v>
                </c:pt>
                <c:pt idx="14">
                  <c:v>包装材料:纸箱</c:v>
                </c:pt>
                <c:pt idx="15">
                  <c:v>包装材料:珍珠棉</c:v>
                </c:pt>
                <c:pt idx="16">
                  <c:v>包装材料：缠绕膜</c:v>
                </c:pt>
                <c:pt idx="17">
                  <c:v>电力</c:v>
                </c:pt>
                <c:pt idx="18">
                  <c:v>公路运输</c:v>
                </c:pt>
              </c:strCache>
            </c:strRef>
          </c:cat>
          <c:val>
            <c:numRef>
              <c:f>'[3.29远大-CFP.xlsx]Sheet1 (2)'!$K$2:$K$20</c:f>
              <c:numCache>
                <c:formatCode>0.00E+00</c:formatCode>
                <c:ptCount val="19"/>
                <c:pt idx="0">
                  <c:v>0</c:v>
                </c:pt>
                <c:pt idx="1">
                  <c:v>0.873479109890122</c:v>
                </c:pt>
                <c:pt idx="2">
                  <c:v>0.0446474460436407</c:v>
                </c:pt>
                <c:pt idx="3">
                  <c:v>0.0060037024533617</c:v>
                </c:pt>
                <c:pt idx="4">
                  <c:v>0.00456005986622393</c:v>
                </c:pt>
                <c:pt idx="5">
                  <c:v>0.137664713058384</c:v>
                </c:pt>
                <c:pt idx="6">
                  <c:v>0.0157089795269077</c:v>
                </c:pt>
                <c:pt idx="7">
                  <c:v>0.0844424340081825</c:v>
                </c:pt>
                <c:pt idx="8">
                  <c:v>0.00366568022775405</c:v>
                </c:pt>
                <c:pt idx="9">
                  <c:v>0.00354628120832933</c:v>
                </c:pt>
                <c:pt idx="10">
                  <c:v>0.0011658812637426</c:v>
                </c:pt>
                <c:pt idx="11">
                  <c:v>0.00616544456553013</c:v>
                </c:pt>
                <c:pt idx="12">
                  <c:v>0.00344438018019388</c:v>
                </c:pt>
                <c:pt idx="13">
                  <c:v>0.0620949378781709</c:v>
                </c:pt>
                <c:pt idx="14">
                  <c:v>0.00641200559743967</c:v>
                </c:pt>
                <c:pt idx="15">
                  <c:v>0.00369052747741304</c:v>
                </c:pt>
                <c:pt idx="16">
                  <c:v>0.00232044984322841</c:v>
                </c:pt>
                <c:pt idx="17">
                  <c:v>1.55870952244853</c:v>
                </c:pt>
                <c:pt idx="18">
                  <c:v>0.0765602667728028</c:v>
                </c:pt>
              </c:numCache>
            </c:numRef>
          </c:val>
        </c:ser>
        <c:dLbls>
          <c:showLegendKey val="0"/>
          <c:showVal val="0"/>
          <c:showCatName val="0"/>
          <c:showSerName val="0"/>
          <c:showPercent val="0"/>
          <c:showBubbleSize val="0"/>
        </c:dLbls>
        <c:gapWidth val="182"/>
        <c:overlap val="0"/>
        <c:axId val="308828563"/>
        <c:axId val="674718029"/>
      </c:barChart>
      <c:catAx>
        <c:axId val="308828563"/>
        <c:scaling>
          <c:orientation val="minMax"/>
        </c:scaling>
        <c:delete val="0"/>
        <c:axPos val="l"/>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74718029"/>
        <c:crosses val="autoZero"/>
        <c:auto val="1"/>
        <c:lblAlgn val="ctr"/>
        <c:lblOffset val="100"/>
        <c:noMultiLvlLbl val="0"/>
      </c:catAx>
      <c:valAx>
        <c:axId val="674718029"/>
        <c:scaling>
          <c:orientation val="minMax"/>
          <c:max val="5"/>
          <c:min val="0"/>
        </c:scaling>
        <c:delete val="0"/>
        <c:axPos val="b"/>
        <c:majorGridlines>
          <c:spPr>
            <a:ln w="9525" cap="flat" cmpd="sng" algn="ctr">
              <a:solidFill>
                <a:schemeClr val="tx1">
                  <a:lumMod val="15000"/>
                  <a:lumOff val="85000"/>
                </a:schemeClr>
              </a:solidFill>
              <a:prstDash val="solid"/>
              <a:round/>
            </a:ln>
            <a:effectLst/>
          </c:spPr>
        </c:majorGridlines>
        <c:numFmt formatCode="0.00E+00"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08828563"/>
        <c:crosses val="autoZero"/>
        <c:crossBetween val="between"/>
        <c:majorUnit val="2"/>
      </c:valAx>
      <c:spPr>
        <a:noFill/>
        <a:ln>
          <a:noFill/>
        </a:ln>
        <a:effectLst/>
      </c:spPr>
    </c:plotArea>
    <c:plotVisOnly val="1"/>
    <c:dispBlanksAs val="gap"/>
    <c:showDLblsOverMax val="0"/>
    <c:extLst>
      <c:ext uri="{0b15fc19-7d7d-44ad-8c2d-2c3a37ce22c3}">
        <chartProps xmlns="https://web.wps.cn/et/2018/main" chartId="{03cc7c81-a7bf-46ce-9564-b86237f057f2}"/>
      </c:ext>
    </c:extLst>
  </c:chart>
  <c:spPr>
    <a:noFill/>
    <a:ln w="3175" cap="flat" cmpd="sng" algn="ctr">
      <a:solidFill>
        <a:srgbClr val="000000"/>
      </a:solidFill>
      <a:prstDash val="solid"/>
      <a:round/>
    </a:ln>
    <a:effectLst/>
  </c:spPr>
  <c:txPr>
    <a:bodyPr wrap="square"/>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77126540426811"/>
          <c:y val="0.0655737704918033"/>
          <c:w val="0.762533814247069"/>
          <c:h val="0.790283159463487"/>
        </c:manualLayout>
      </c:layout>
      <c:barChart>
        <c:barDir val="bar"/>
        <c:grouping val="clustered"/>
        <c:varyColors val="0"/>
        <c:ser>
          <c:idx val="0"/>
          <c:order val="0"/>
          <c:spPr>
            <a:solidFill>
              <a:schemeClr val="accent1"/>
            </a:solidFill>
            <a:ln>
              <a:noFill/>
            </a:ln>
            <a:effectLst/>
          </c:spPr>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'[3.29远大-CFP.xlsx]Sheet1 (2)'!$J$70:$J$73</c:f>
              <c:strCache>
                <c:ptCount val="4"/>
                <c:pt idx="0">
                  <c:v>产品生产</c:v>
                </c:pt>
                <c:pt idx="1">
                  <c:v>运输</c:v>
                </c:pt>
                <c:pt idx="2">
                  <c:v>能源生产</c:v>
                </c:pt>
                <c:pt idx="3">
                  <c:v>原材料生产</c:v>
                </c:pt>
              </c:strCache>
            </c:strRef>
          </c:cat>
          <c:val>
            <c:numRef>
              <c:f>'[3.29远大-CFP.xlsx]Sheet1 (2)'!$K$70:$K$73</c:f>
              <c:numCache>
                <c:formatCode>0.00%</c:formatCode>
                <c:ptCount val="4"/>
                <c:pt idx="0">
                  <c:v>0</c:v>
                </c:pt>
                <c:pt idx="1">
                  <c:v>0.0264522501515416</c:v>
                </c:pt>
                <c:pt idx="2">
                  <c:v>0.538547943200814</c:v>
                </c:pt>
                <c:pt idx="3">
                  <c:v>0.434999806647645</c:v>
                </c:pt>
              </c:numCache>
            </c:numRef>
          </c:val>
        </c:ser>
        <c:dLbls>
          <c:showLegendKey val="0"/>
          <c:showVal val="0"/>
          <c:showCatName val="0"/>
          <c:showSerName val="0"/>
          <c:showPercent val="0"/>
          <c:showBubbleSize val="0"/>
        </c:dLbls>
        <c:gapWidth val="182"/>
        <c:overlap val="0"/>
        <c:axId val="498152106"/>
        <c:axId val="779561489"/>
      </c:barChart>
      <c:catAx>
        <c:axId val="498152106"/>
        <c:scaling>
          <c:orientation val="minMax"/>
        </c:scaling>
        <c:delete val="0"/>
        <c:axPos val="l"/>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79561489"/>
        <c:crosses val="autoZero"/>
        <c:auto val="1"/>
        <c:lblAlgn val="ctr"/>
        <c:lblOffset val="100"/>
        <c:noMultiLvlLbl val="0"/>
      </c:catAx>
      <c:valAx>
        <c:axId val="779561489"/>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0.00%"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98152106"/>
        <c:crosses val="autoZero"/>
        <c:crossBetween val="between"/>
        <c:majorUnit val="0.2"/>
      </c:valAx>
      <c:spPr>
        <a:noFill/>
        <a:ln>
          <a:noFill/>
        </a:ln>
        <a:effectLst/>
      </c:spPr>
    </c:plotArea>
    <c:plotVisOnly val="1"/>
    <c:dispBlanksAs val="gap"/>
    <c:showDLblsOverMax val="0"/>
    <c:extLst>
      <c:ext uri="{0b15fc19-7d7d-44ad-8c2d-2c3a37ce22c3}">
        <chartProps xmlns="https://web.wps.cn/et/2018/main" chartId="{6f9677c0-99ab-4462-8a84-136ab7811ef2}"/>
      </c:ext>
    </c:extLst>
  </c:chart>
  <c:spPr>
    <a:noFill/>
    <a:ln w="3175" cap="flat" cmpd="sng" algn="ctr">
      <a:solidFill>
        <a:srgbClr val="000000"/>
      </a:solidFill>
      <a:prstDash val="solid"/>
      <a:round/>
    </a:ln>
    <a:effectLst/>
  </c:spPr>
  <c:txPr>
    <a:bodyPr wrap="square"/>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77126540426811"/>
          <c:y val="0.0655737704918033"/>
          <c:w val="0.762533814247069"/>
          <c:h val="0.790283159463487"/>
        </c:manualLayout>
      </c:layout>
      <c:barChart>
        <c:barDir val="bar"/>
        <c:grouping val="clustered"/>
        <c:varyColors val="0"/>
        <c:ser>
          <c:idx val="0"/>
          <c:order val="0"/>
          <c:spPr>
            <a:solidFill>
              <a:schemeClr val="accent1"/>
            </a:solidFill>
            <a:ln>
              <a:noFill/>
            </a:ln>
            <a:effectLst/>
          </c:spPr>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'[3.29远大-CFP.xlsx]Sheet1 (2)'!$J$70:$J$73</c:f>
              <c:strCache>
                <c:ptCount val="4"/>
                <c:pt idx="0">
                  <c:v>产品生产</c:v>
                </c:pt>
                <c:pt idx="1">
                  <c:v>运输</c:v>
                </c:pt>
                <c:pt idx="2">
                  <c:v>能源生产</c:v>
                </c:pt>
                <c:pt idx="3">
                  <c:v>原材料生产</c:v>
                </c:pt>
              </c:strCache>
            </c:strRef>
          </c:cat>
          <c:val>
            <c:numRef>
              <c:f>'[3.29远大-CFP.xlsx]Sheet1 (2)'!$K$70:$K$73</c:f>
              <c:numCache>
                <c:formatCode>0.00%</c:formatCode>
                <c:ptCount val="4"/>
                <c:pt idx="0">
                  <c:v>0</c:v>
                </c:pt>
                <c:pt idx="1">
                  <c:v>0.0264522501515416</c:v>
                </c:pt>
                <c:pt idx="2">
                  <c:v>0.538547943200814</c:v>
                </c:pt>
                <c:pt idx="3">
                  <c:v>0.434999806647645</c:v>
                </c:pt>
              </c:numCache>
            </c:numRef>
          </c:val>
        </c:ser>
        <c:dLbls>
          <c:showLegendKey val="0"/>
          <c:showVal val="0"/>
          <c:showCatName val="0"/>
          <c:showSerName val="0"/>
          <c:showPercent val="0"/>
          <c:showBubbleSize val="0"/>
        </c:dLbls>
        <c:gapWidth val="182"/>
        <c:overlap val="0"/>
        <c:axId val="498152106"/>
        <c:axId val="779561489"/>
      </c:barChart>
      <c:catAx>
        <c:axId val="498152106"/>
        <c:scaling>
          <c:orientation val="minMax"/>
        </c:scaling>
        <c:delete val="0"/>
        <c:axPos val="l"/>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79561489"/>
        <c:crosses val="autoZero"/>
        <c:auto val="1"/>
        <c:lblAlgn val="ctr"/>
        <c:lblOffset val="100"/>
        <c:noMultiLvlLbl val="0"/>
      </c:catAx>
      <c:valAx>
        <c:axId val="779561489"/>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0.00%"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98152106"/>
        <c:crosses val="autoZero"/>
        <c:crossBetween val="between"/>
        <c:majorUnit val="0.2"/>
      </c:valAx>
      <c:spPr>
        <a:noFill/>
        <a:ln>
          <a:noFill/>
        </a:ln>
        <a:effectLst/>
      </c:spPr>
    </c:plotArea>
    <c:plotVisOnly val="1"/>
    <c:dispBlanksAs val="gap"/>
    <c:showDLblsOverMax val="0"/>
    <c:extLst>
      <c:ext uri="{0b15fc19-7d7d-44ad-8c2d-2c3a37ce22c3}">
        <chartProps xmlns="https://web.wps.cn/et/2018/main" chartId="{6f9677c0-99ab-4462-8a84-136ab7811ef2}"/>
      </c:ext>
    </c:extLst>
  </c:chart>
  <c:spPr>
    <a:noFill/>
    <a:ln w="3175" cap="flat" cmpd="sng" algn="ctr">
      <a:solidFill>
        <a:srgbClr val="000000"/>
      </a:solidFill>
      <a:prstDash val="solid"/>
      <a:round/>
    </a:ln>
    <a:effectLst/>
  </c:spPr>
  <c:txPr>
    <a:bodyPr wrap="square"/>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30</Pages>
  <Words>14984</Words>
  <Characters>18266</Characters>
  <TotalTime>29</TotalTime>
  <ScaleCrop>false</ScaleCrop>
  <LinksUpToDate>false</LinksUpToDate>
  <CharactersWithSpaces>18521</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2023-07-05T17:12:00Z</dcterms:created>
  <dc:creator>Administrator</dc:creator>
  <cp:lastModifiedBy>liuning</cp:lastModifiedBy>
  <dcterms:modified xsi:type="dcterms:W3CDTF">2026-03-19T02:39:01Z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2025-06-05T19:40:14Z</vt:filetime>
  </property>
  <property fmtid="{D5CDD505-2E9C-101B-9397-08002B2CF9AE}" pid="4" name="KSOProductBuildVer">
    <vt:lpwstr>2052-12.1.0.25225</vt:lpwstr>
  </property>
  <property fmtid="{D5CDD505-2E9C-101B-9397-08002B2CF9AE}" pid="5" name="ICV">
    <vt:lpwstr>0D67531B724542D391ED2792AFD24157</vt:lpwstr>
  </property>
  <property fmtid="{D5CDD505-2E9C-101B-9397-08002B2CF9AE}" pid="6" name="KSOTemplateDocerSaveRecord">
    <vt:lpwstr>eyJoZGlkIjoiNDY1YjJiMzMwNTI2MzI4MTc3NjAxNDQ0ZDFjYTQ4MmIiLCJ1c2VySWQiOiIzNDY2OTc3NTQifQ==</vt:lpwstr>
  </property>
</Properties>
</file>